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cs="方正小标宋简体"/>
          <w:szCs w:val="32"/>
        </w:rPr>
      </w:pPr>
      <w:bookmarkStart w:id="1" w:name="_GoBack"/>
      <w:bookmarkStart w:id="0" w:name="OLE_LINK1"/>
      <w:r>
        <w:rPr>
          <w:rFonts w:hint="eastAsia" w:ascii="方正小标宋简体" w:hAnsi="仿宋" w:eastAsia="方正小标宋简体" w:cs="方正小标宋简体"/>
          <w:szCs w:val="32"/>
        </w:rPr>
        <w:t>中南林业科技大学毕业研究生就业工作考核评估评分表</w:t>
      </w:r>
      <w:bookmarkEnd w:id="0"/>
    </w:p>
    <w:bookmarkEnd w:id="1"/>
    <w:tbl>
      <w:tblPr>
        <w:tblStyle w:val="2"/>
        <w:tblW w:w="4997" w:type="pct"/>
        <w:jc w:val="center"/>
        <w:tblLayout w:type="autofit"/>
        <w:tblCellMar>
          <w:top w:w="0" w:type="dxa"/>
          <w:left w:w="108" w:type="dxa"/>
          <w:bottom w:w="0" w:type="dxa"/>
          <w:right w:w="108" w:type="dxa"/>
        </w:tblCellMar>
      </w:tblPr>
      <w:tblGrid>
        <w:gridCol w:w="1210"/>
        <w:gridCol w:w="632"/>
        <w:gridCol w:w="595"/>
        <w:gridCol w:w="7712"/>
        <w:gridCol w:w="1145"/>
        <w:gridCol w:w="964"/>
        <w:gridCol w:w="881"/>
        <w:gridCol w:w="1026"/>
      </w:tblGrid>
      <w:tr>
        <w:tblPrEx>
          <w:tblCellMar>
            <w:top w:w="0" w:type="dxa"/>
            <w:left w:w="108" w:type="dxa"/>
            <w:bottom w:w="0" w:type="dxa"/>
            <w:right w:w="108" w:type="dxa"/>
          </w:tblCellMar>
        </w:tblPrEx>
        <w:trPr>
          <w:trHeight w:val="620" w:hRule="atLeast"/>
          <w:tblHeader/>
          <w:jc w:val="center"/>
        </w:trPr>
        <w:tc>
          <w:tcPr>
            <w:tcW w:w="42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黑体" w:hAnsi="黑体" w:eastAsia="黑体" w:cs="仿宋_GB2312"/>
                <w:spacing w:val="-8"/>
                <w:sz w:val="21"/>
                <w:szCs w:val="21"/>
              </w:rPr>
            </w:pPr>
            <w:r>
              <w:rPr>
                <w:rFonts w:hint="eastAsia" w:ascii="黑体" w:hAnsi="黑体" w:eastAsia="黑体" w:cs="仿宋_GB2312"/>
                <w:spacing w:val="-8"/>
                <w:sz w:val="21"/>
                <w:szCs w:val="21"/>
              </w:rPr>
              <w:t>一级指标</w:t>
            </w:r>
          </w:p>
        </w:tc>
        <w:tc>
          <w:tcPr>
            <w:tcW w:w="223"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黑体" w:hAnsi="黑体" w:eastAsia="黑体" w:cs="仿宋_GB2312"/>
                <w:sz w:val="21"/>
                <w:szCs w:val="21"/>
              </w:rPr>
            </w:pPr>
            <w:r>
              <w:rPr>
                <w:rFonts w:hint="eastAsia" w:ascii="黑体" w:hAnsi="黑体" w:eastAsia="黑体" w:cs="仿宋_GB2312"/>
                <w:spacing w:val="-8"/>
                <w:sz w:val="21"/>
                <w:szCs w:val="21"/>
              </w:rPr>
              <w:t>二级指标</w:t>
            </w:r>
          </w:p>
        </w:tc>
        <w:tc>
          <w:tcPr>
            <w:tcW w:w="20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黑体" w:hAnsi="黑体" w:eastAsia="黑体" w:cs="仿宋_GB2312"/>
                <w:sz w:val="21"/>
                <w:szCs w:val="21"/>
              </w:rPr>
            </w:pPr>
            <w:r>
              <w:rPr>
                <w:rFonts w:hint="eastAsia" w:ascii="黑体" w:hAnsi="黑体" w:eastAsia="黑体" w:cs="仿宋_GB2312"/>
                <w:sz w:val="21"/>
                <w:szCs w:val="21"/>
              </w:rPr>
              <w:t>分值</w:t>
            </w:r>
          </w:p>
        </w:tc>
        <w:tc>
          <w:tcPr>
            <w:tcW w:w="272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黑体" w:hAnsi="黑体" w:eastAsia="黑体" w:cs="仿宋_GB2312"/>
                <w:sz w:val="21"/>
                <w:szCs w:val="21"/>
              </w:rPr>
            </w:pPr>
            <w:r>
              <w:rPr>
                <w:rFonts w:hint="eastAsia" w:ascii="黑体" w:hAnsi="黑体" w:eastAsia="黑体" w:cs="仿宋_GB2312"/>
                <w:sz w:val="21"/>
                <w:szCs w:val="21"/>
              </w:rPr>
              <w:t>评价方法</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仿宋_GB2312"/>
                <w:sz w:val="21"/>
                <w:szCs w:val="21"/>
              </w:rPr>
            </w:pPr>
            <w:r>
              <w:rPr>
                <w:rFonts w:hint="eastAsia" w:ascii="黑体" w:hAnsi="黑体" w:eastAsia="黑体" w:cs="仿宋_GB2312"/>
                <w:sz w:val="21"/>
                <w:szCs w:val="21"/>
              </w:rPr>
              <w:t>分项分值</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仿宋_GB2312"/>
                <w:sz w:val="21"/>
                <w:szCs w:val="21"/>
              </w:rPr>
            </w:pPr>
            <w:r>
              <w:rPr>
                <w:rFonts w:hint="eastAsia" w:ascii="黑体" w:hAnsi="黑体" w:eastAsia="黑体" w:cs="仿宋_GB2312"/>
                <w:sz w:val="21"/>
                <w:szCs w:val="21"/>
              </w:rPr>
              <w:t>自评分</w:t>
            </w:r>
          </w:p>
        </w:tc>
        <w:tc>
          <w:tcPr>
            <w:tcW w:w="31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仿宋_GB2312"/>
                <w:sz w:val="21"/>
                <w:szCs w:val="21"/>
              </w:rPr>
            </w:pPr>
            <w:r>
              <w:rPr>
                <w:rFonts w:hint="eastAsia" w:ascii="黑体" w:hAnsi="黑体" w:eastAsia="黑体" w:cs="仿宋_GB2312"/>
                <w:sz w:val="21"/>
                <w:szCs w:val="21"/>
              </w:rPr>
              <w:t>复核分</w:t>
            </w:r>
          </w:p>
        </w:tc>
        <w:tc>
          <w:tcPr>
            <w:tcW w:w="36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仿宋_GB2312"/>
                <w:sz w:val="21"/>
                <w:szCs w:val="21"/>
              </w:rPr>
            </w:pPr>
          </w:p>
        </w:tc>
      </w:tr>
      <w:tr>
        <w:tblPrEx>
          <w:tblCellMar>
            <w:top w:w="0" w:type="dxa"/>
            <w:left w:w="108" w:type="dxa"/>
            <w:bottom w:w="0" w:type="dxa"/>
            <w:right w:w="108" w:type="dxa"/>
          </w:tblCellMar>
        </w:tblPrEx>
        <w:trPr>
          <w:trHeight w:val="553" w:hRule="atLeast"/>
          <w:jc w:val="center"/>
        </w:trPr>
        <w:tc>
          <w:tcPr>
            <w:tcW w:w="427"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就业管理</w:t>
            </w:r>
          </w:p>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223"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工作保障</w:t>
            </w:r>
          </w:p>
        </w:tc>
        <w:tc>
          <w:tcPr>
            <w:tcW w:w="209"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721" w:type="pct"/>
            <w:tcBorders>
              <w:top w:val="single" w:color="auto" w:sz="4" w:space="0"/>
              <w:left w:val="single" w:color="auto" w:sz="4" w:space="0"/>
              <w:bottom w:val="single" w:color="auto" w:sz="4" w:space="0"/>
              <w:right w:val="single" w:color="auto" w:sz="4" w:space="0"/>
            </w:tcBorders>
            <w:shd w:val="clear" w:color="auto" w:fill="FFFFFF"/>
          </w:tcPr>
          <w:p>
            <w:pPr>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1.领导重视，按照“一把手工程”要求成立了就业工作领导小组。每年专门召开就业工作会议(可与本科生就业工作会议合并开)不少于2次。缺1次扣1分。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restart"/>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283"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tcPr>
          <w:p>
            <w:pPr>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2.研究生就业经费有保障，无专款专用或被挤占现象。如有则该项0分。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continue"/>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272"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tcPr>
          <w:p>
            <w:pPr>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3.有专人负责研究生就业工作。无则该项0分。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continue"/>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90"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规范管理</w:t>
            </w:r>
          </w:p>
        </w:tc>
        <w:tc>
          <w:tcPr>
            <w:tcW w:w="209"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721" w:type="pct"/>
            <w:tcBorders>
              <w:top w:val="single" w:color="auto" w:sz="4" w:space="0"/>
              <w:left w:val="single" w:color="auto" w:sz="4" w:space="0"/>
              <w:bottom w:val="single" w:color="auto" w:sz="4" w:space="0"/>
              <w:right w:val="single" w:color="auto" w:sz="4" w:space="0"/>
            </w:tcBorders>
            <w:shd w:val="clear" w:color="auto" w:fill="FFFFFF"/>
          </w:tcPr>
          <w:p>
            <w:pPr>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1.就业工作年初有就业工作要点（含措施），年末有毕业研究生就业工作总结（自评报告），每项2分。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restart"/>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566"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tcPr>
          <w:p>
            <w:pPr>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2.毕业研究生就业工作信息传达及时，工作完成时效强、质量高。如：毕业资格审查、就业信息系统更新、就业派遣信息校对等常规工作。未按时完成或工作错漏每项扣1分。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continue"/>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90" w:hRule="atLeast"/>
          <w:jc w:val="center"/>
        </w:trPr>
        <w:tc>
          <w:tcPr>
            <w:tcW w:w="427"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tcPr>
          <w:p>
            <w:pPr>
              <w:spacing w:line="32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3.毕业/肄业研究生档案管理规范，档案交接及时、完整。工作不按时或错漏1次扣1分。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continue"/>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310" w:hRule="atLeast"/>
          <w:jc w:val="center"/>
        </w:trPr>
        <w:tc>
          <w:tcPr>
            <w:tcW w:w="427"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就业教育</w:t>
            </w:r>
          </w:p>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223"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就业指导与服务</w:t>
            </w:r>
          </w:p>
        </w:tc>
        <w:tc>
          <w:tcPr>
            <w:tcW w:w="209"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2721" w:type="pct"/>
            <w:tcBorders>
              <w:top w:val="single" w:color="auto" w:sz="4" w:space="0"/>
              <w:left w:val="single" w:color="auto" w:sz="4" w:space="0"/>
              <w:bottom w:val="single" w:color="auto" w:sz="4" w:space="0"/>
              <w:right w:val="single" w:color="auto" w:sz="4" w:space="0"/>
            </w:tcBorders>
            <w:shd w:val="clear" w:color="auto" w:fill="FFFFFF"/>
          </w:tcPr>
          <w:p>
            <w:pPr>
              <w:spacing w:line="32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sz w:val="21"/>
                <w:szCs w:val="21"/>
              </w:rPr>
              <w:t>1.每年举办就业指导与创业教育活动（不限形式，可联合举办）至少2场。每少1场扣1分。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restart"/>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566"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tcPr>
          <w:p>
            <w:pPr>
              <w:spacing w:line="32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sz w:val="21"/>
                <w:szCs w:val="21"/>
              </w:rPr>
              <w:t>2.建立就业困难群体（建档立卡户、纯农户家庭、经济困难等毕业生）就业台帐。未按年度具体工作要求完成，每少1条扣1分。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continue"/>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90"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tcPr>
          <w:p>
            <w:pPr>
              <w:spacing w:line="32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sz w:val="21"/>
                <w:szCs w:val="21"/>
              </w:rPr>
              <w:t>3.引导毕业生到西部地区、基层就业。无相应措施和工作开展实绩，0分。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continue"/>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294" w:hRule="atLeast"/>
          <w:jc w:val="center"/>
        </w:trPr>
        <w:tc>
          <w:tcPr>
            <w:tcW w:w="427"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tcPr>
          <w:p>
            <w:pPr>
              <w:spacing w:line="32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4.严格执行“四不准”。就业反馈每出现1例不属实就业信息扣1分，扣完为止。</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continue"/>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340" w:hRule="atLeast"/>
          <w:jc w:val="center"/>
        </w:trPr>
        <w:tc>
          <w:tcPr>
            <w:tcW w:w="427"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就业市场（40）</w:t>
            </w:r>
          </w:p>
        </w:tc>
        <w:tc>
          <w:tcPr>
            <w:tcW w:w="223"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校园招聘</w:t>
            </w:r>
          </w:p>
        </w:tc>
        <w:tc>
          <w:tcPr>
            <w:tcW w:w="209"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721"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20" w:lineRule="exact"/>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1.学院邀请来校招聘用人单位数量不少于学院二级学科/专业类别/领域数量，数量不足按比例扣分。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restart"/>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584"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20" w:lineRule="exac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2.学院发布与专业相关就业信息岗位数：毕业人数≤30人，岗位数不少于毕业人数*3；30＜毕业人数≤60人，岗位数不少于毕业人数*2；毕业人数＞60人，岗位数不少于毕业人数*1）。</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continue"/>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396"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3.积极引导毕业生参加学校招聘会。主要考核参与校招人次、校招线上签约人次。</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continue"/>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266"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就业市场与就业调研</w:t>
            </w:r>
          </w:p>
        </w:tc>
        <w:tc>
          <w:tcPr>
            <w:tcW w:w="209" w:type="pct"/>
            <w:vMerge w:val="restart"/>
            <w:tcBorders>
              <w:top w:val="single" w:color="auto" w:sz="4" w:space="0"/>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72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1.自主建有（重点）用人单位信息库、校友企业信息库，并且更新维护及时。</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restart"/>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288"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2.走访用人单位、开展研究生跟踪调查，加强与用人单位联系，积极开展市场调研和市场拓展，</w:t>
            </w:r>
            <w:r>
              <w:rPr>
                <w:rFonts w:hint="eastAsia" w:ascii="仿宋_GB2312" w:hAnsi="仿宋_GB2312" w:eastAsia="仿宋_GB2312" w:cs="仿宋_GB2312"/>
                <w:sz w:val="21"/>
                <w:szCs w:val="21"/>
              </w:rPr>
              <w:t>有记录、有数据、有分析、有结果。</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vMerge w:val="continue"/>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389" w:hRule="atLeast"/>
          <w:jc w:val="center"/>
        </w:trPr>
        <w:tc>
          <w:tcPr>
            <w:tcW w:w="427"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23"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09" w:type="pct"/>
            <w:vMerge w:val="continue"/>
            <w:tcBorders>
              <w:left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p>
        </w:tc>
        <w:tc>
          <w:tcPr>
            <w:tcW w:w="272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3.组织毕业生参加各类线上核验、调查。每项工作，各学院完成率均不低于学校最终完成率可得10分。如低于整体完成率，每项扣1分。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该项由就业办打分</w:t>
            </w:r>
          </w:p>
        </w:tc>
        <w:tc>
          <w:tcPr>
            <w:tcW w:w="362"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816" w:hRule="atLeast"/>
          <w:jc w:val="center"/>
        </w:trPr>
        <w:tc>
          <w:tcPr>
            <w:tcW w:w="42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工作绩效</w:t>
            </w:r>
          </w:p>
          <w:p>
            <w:pPr>
              <w:spacing w:line="32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23"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就业率</w:t>
            </w:r>
          </w:p>
        </w:tc>
        <w:tc>
          <w:tcPr>
            <w:tcW w:w="20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72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完成就业率任务目标的计20分，（四舍五入）每低1%扣1分，扣完为止。</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1748" w:hRule="atLeast"/>
          <w:jc w:val="center"/>
        </w:trPr>
        <w:tc>
          <w:tcPr>
            <w:tcW w:w="860"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加分项目</w:t>
            </w:r>
          </w:p>
        </w:tc>
        <w:tc>
          <w:tcPr>
            <w:tcW w:w="272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1.挖掘就业、创新创业典型（含应届毕业生、学院校友）并通过媒体宣传报道。考核自然年中，校级媒体宣传每个加1分，省级及以上每个加3分。</w:t>
            </w:r>
          </w:p>
          <w:p>
            <w:pPr>
              <w:spacing w:line="32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2.考核自然年中，参加各级学生创新、创业竞赛（包含但不限于“挑战杯”、“互联网+”等）活动获奖。仅限省级一二三等（或金银铜）奖，每项分别加3、2、1分；国家级一二三等（或金银铜）奖，每项分别加8、5、3分。最多加15分。</w:t>
            </w:r>
          </w:p>
          <w:p>
            <w:pPr>
              <w:spacing w:line="32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4.研究生就业工作人员主持就业创业相关研究课题或发表就业创业类相关论文的每项（篇）加2分。</w:t>
            </w:r>
          </w:p>
          <w:p>
            <w:pPr>
              <w:spacing w:line="32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5.就业率每超目标值1%，加1，最多加5分。</w:t>
            </w:r>
          </w:p>
        </w:tc>
        <w:tc>
          <w:tcPr>
            <w:tcW w:w="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1"/>
                <w:szCs w:val="21"/>
              </w:rPr>
            </w:pP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377" w:hRule="atLeast"/>
          <w:jc w:val="center"/>
        </w:trPr>
        <w:tc>
          <w:tcPr>
            <w:tcW w:w="3985"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总分</w:t>
            </w:r>
          </w:p>
        </w:tc>
        <w:tc>
          <w:tcPr>
            <w:tcW w:w="34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11"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c>
          <w:tcPr>
            <w:tcW w:w="362"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1"/>
                <w:szCs w:val="21"/>
              </w:rPr>
            </w:pPr>
          </w:p>
        </w:tc>
      </w:tr>
    </w:tbl>
    <w:p>
      <w:pPr>
        <w:ind w:right="560"/>
        <w:rPr>
          <w:rFonts w:ascii="仿宋" w:hAnsi="仿宋" w:eastAsia="仿宋"/>
          <w:b/>
          <w:sz w:val="24"/>
        </w:rPr>
      </w:pPr>
    </w:p>
    <w:p>
      <w:pPr>
        <w:ind w:right="560"/>
      </w:pPr>
      <w:r>
        <w:rPr>
          <w:rFonts w:hint="eastAsia" w:ascii="仿宋" w:hAnsi="仿宋" w:eastAsia="仿宋"/>
          <w:b/>
          <w:sz w:val="24"/>
        </w:rPr>
        <w:t>填报人：</w:t>
      </w:r>
      <w:r>
        <w:rPr>
          <w:rFonts w:hint="eastAsia" w:ascii="仿宋" w:hAnsi="仿宋" w:eastAsia="仿宋"/>
          <w:b/>
          <w:sz w:val="24"/>
          <w:u w:val="single"/>
        </w:rPr>
        <w:t xml:space="preserve">               </w:t>
      </w:r>
      <w:r>
        <w:rPr>
          <w:rFonts w:hint="eastAsia" w:ascii="仿宋" w:hAnsi="仿宋" w:eastAsia="仿宋"/>
          <w:b/>
          <w:sz w:val="24"/>
        </w:rPr>
        <w:t xml:space="preserve">       党委（总支）书记签字: </w:t>
      </w:r>
      <w:r>
        <w:rPr>
          <w:rFonts w:hint="eastAsia" w:ascii="仿宋" w:hAnsi="仿宋" w:eastAsia="仿宋"/>
          <w:b/>
          <w:sz w:val="24"/>
          <w:u w:val="single"/>
        </w:rPr>
        <w:t xml:space="preserve">               </w:t>
      </w:r>
      <w:r>
        <w:rPr>
          <w:rFonts w:hint="eastAsia" w:ascii="仿宋" w:hAnsi="仿宋" w:eastAsia="仿宋"/>
          <w:b/>
          <w:sz w:val="24"/>
        </w:rPr>
        <w:t xml:space="preserve">             院系盖章：                         </w:t>
      </w:r>
    </w:p>
    <w:sectPr>
      <w:pgSz w:w="16838" w:h="11906" w:orient="landscape"/>
      <w:pgMar w:top="1440" w:right="1440" w:bottom="1440" w:left="1440" w:header="851" w:footer="992" w:gutter="0"/>
      <w:cols w:space="0" w:num="1"/>
      <w:docGrid w:type="lines" w:linePitch="45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DC7D25-E0BD-48E4-A23D-8D0D3B5D22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694177DD-D0E8-4A7E-9FA6-A4AC9D568D59}"/>
  </w:font>
  <w:font w:name="仿宋">
    <w:panose1 w:val="02010609060101010101"/>
    <w:charset w:val="86"/>
    <w:family w:val="modern"/>
    <w:pitch w:val="default"/>
    <w:sig w:usb0="800002BF" w:usb1="38CF7CFA" w:usb2="00000016" w:usb3="00000000" w:csb0="00040001" w:csb1="00000000"/>
    <w:embedRegular r:id="rId3" w:fontKey="{9D08A38A-AA78-48F3-A6B4-3F79F2A64CEF}"/>
  </w:font>
  <w:font w:name="仿宋_GB2312">
    <w:altName w:val="仿宋"/>
    <w:panose1 w:val="00000000000000000000"/>
    <w:charset w:val="86"/>
    <w:family w:val="modern"/>
    <w:pitch w:val="default"/>
    <w:sig w:usb0="00000000" w:usb1="00000000" w:usb2="00000010" w:usb3="00000000" w:csb0="00040000" w:csb1="00000000"/>
    <w:embedRegular r:id="rId4" w:fontKey="{B8202FD3-228D-4318-B5A8-0A855B972F7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60"/>
  <w:drawingGridVerticalSpacing w:val="2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D1"/>
    <w:rsid w:val="00065295"/>
    <w:rsid w:val="000C3106"/>
    <w:rsid w:val="00551893"/>
    <w:rsid w:val="005B427E"/>
    <w:rsid w:val="00803EAE"/>
    <w:rsid w:val="008A26A9"/>
    <w:rsid w:val="008C6DD1"/>
    <w:rsid w:val="008F6800"/>
    <w:rsid w:val="009E13F7"/>
    <w:rsid w:val="00A0335F"/>
    <w:rsid w:val="00AD0E26"/>
    <w:rsid w:val="00B320CF"/>
    <w:rsid w:val="00CB3CC9"/>
    <w:rsid w:val="12C63F9C"/>
    <w:rsid w:val="47333F44"/>
    <w:rsid w:val="4FE7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28"/>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228</Words>
  <Characters>1301</Characters>
  <Lines>10</Lines>
  <Paragraphs>3</Paragraphs>
  <TotalTime>80</TotalTime>
  <ScaleCrop>false</ScaleCrop>
  <LinksUpToDate>false</LinksUpToDate>
  <CharactersWithSpaces>1526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2020-09-21T07:17:00Z</dcterms:created>
  <dc:creator>xuejie shen</dc:creator>
  <cp:lastModifiedBy>juvent</cp:lastModifiedBy>
  <cp:lastPrinted>2020-11-24T01:41:00Z</cp:lastPrinted>
  <dcterms:modified xsi:type="dcterms:W3CDTF">2021-11-29T02:11:32Z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8CDDAA5BC77E496681F3B0A20E26B931</vt:lpwstr>
  </property>
</Properties>
</file>