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wordWrap w:val="0"/>
        <w:spacing w:beforeAutospacing="0" w:afterAutospacing="0" w:line="420" w:lineRule="auto"/>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商</w:t>
      </w:r>
      <w:r>
        <w:rPr>
          <w:rFonts w:hint="eastAsia" w:ascii="黑体" w:hAnsi="黑体" w:eastAsia="黑体" w:cs="黑体"/>
          <w:b/>
          <w:bCs/>
          <w:color w:val="000000" w:themeColor="text1"/>
          <w:sz w:val="32"/>
          <w:szCs w:val="32"/>
          <w:highlight w:val="none"/>
          <w14:textFill>
            <w14:solidFill>
              <w14:schemeClr w14:val="tx1"/>
            </w14:solidFill>
          </w14:textFill>
        </w:rPr>
        <w:t>学院2024年硕士研究生</w:t>
      </w:r>
      <w:r>
        <w:rPr>
          <w:rFonts w:hint="eastAsia" w:ascii="黑体" w:hAnsi="黑体" w:eastAsia="黑体" w:cs="黑体"/>
          <w:b/>
          <w:bCs/>
          <w:color w:val="000000" w:themeColor="text1"/>
          <w:sz w:val="32"/>
          <w:szCs w:val="32"/>
          <w:highlight w:val="none"/>
          <w:lang w:val="en-US" w:eastAsia="zh-CN"/>
          <w14:textFill>
            <w14:solidFill>
              <w14:schemeClr w14:val="tx1"/>
            </w14:solidFill>
          </w14:textFill>
        </w:rPr>
        <w:t>招生</w:t>
      </w:r>
      <w:r>
        <w:rPr>
          <w:rFonts w:hint="eastAsia" w:ascii="黑体" w:hAnsi="黑体" w:eastAsia="黑体" w:cs="黑体"/>
          <w:b/>
          <w:bCs/>
          <w:color w:val="000000" w:themeColor="text1"/>
          <w:sz w:val="32"/>
          <w:szCs w:val="32"/>
          <w:highlight w:val="none"/>
          <w14:textFill>
            <w14:solidFill>
              <w14:schemeClr w14:val="tx1"/>
            </w14:solidFill>
          </w14:textFill>
        </w:rPr>
        <w:t>调剂公告</w:t>
      </w:r>
    </w:p>
    <w:p>
      <w:pPr>
        <w:rPr>
          <w:rFonts w:hint="default"/>
        </w:rPr>
      </w:pPr>
    </w:p>
    <w:p>
      <w:pPr>
        <w:pStyle w:val="3"/>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各位考生：</w:t>
      </w:r>
    </w:p>
    <w:p>
      <w:pPr>
        <w:pStyle w:val="3"/>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我院</w:t>
      </w:r>
      <w:r>
        <w:rPr>
          <w:rFonts w:hint="eastAsia" w:ascii="宋体" w:hAnsi="宋体" w:eastAsia="宋体" w:cs="宋体"/>
          <w:color w:val="000000" w:themeColor="text1"/>
          <w:sz w:val="24"/>
          <w:szCs w:val="24"/>
          <w:lang w:eastAsia="zh-CN"/>
          <w14:textFill>
            <w14:solidFill>
              <w14:schemeClr w14:val="tx1"/>
            </w14:solidFill>
          </w14:textFill>
        </w:rPr>
        <w:t>农业</w:t>
      </w:r>
      <w:r>
        <w:rPr>
          <w:rFonts w:hint="eastAsia" w:ascii="宋体" w:hAnsi="宋体" w:eastAsia="宋体" w:cs="宋体"/>
          <w:color w:val="000000" w:themeColor="text1"/>
          <w:sz w:val="24"/>
          <w:szCs w:val="24"/>
          <w14:textFill>
            <w14:solidFill>
              <w14:schemeClr w14:val="tx1"/>
            </w14:solidFill>
          </w14:textFill>
        </w:rPr>
        <w:t>管理（095137）专业现有少量</w:t>
      </w:r>
      <w:r>
        <w:rPr>
          <w:rFonts w:hint="eastAsia" w:ascii="宋体" w:hAnsi="宋体" w:eastAsia="宋体" w:cs="宋体"/>
          <w:color w:val="000000" w:themeColor="text1"/>
          <w:sz w:val="24"/>
          <w:szCs w:val="24"/>
          <w:lang w:eastAsia="zh-CN"/>
          <w14:textFill>
            <w14:solidFill>
              <w14:schemeClr w14:val="tx1"/>
            </w14:solidFill>
          </w14:textFill>
        </w:rPr>
        <w:t>非全日制</w:t>
      </w:r>
      <w:r>
        <w:rPr>
          <w:rFonts w:hint="eastAsia" w:ascii="宋体" w:hAnsi="宋体" w:eastAsia="宋体" w:cs="宋体"/>
          <w:color w:val="000000" w:themeColor="text1"/>
          <w:sz w:val="24"/>
          <w:szCs w:val="24"/>
          <w14:textFill>
            <w14:solidFill>
              <w14:schemeClr w14:val="tx1"/>
            </w14:solidFill>
          </w14:textFill>
        </w:rPr>
        <w:t>调剂名额，将开放调剂系统，所有考生的调剂都必须通过中国研究生招生信息网的“调剂服务系统”进行。请注意如下事项：</w:t>
      </w:r>
    </w:p>
    <w:p>
      <w:pPr>
        <w:adjustRightInd w:val="0"/>
        <w:snapToGrid w:val="0"/>
        <w:spacing w:line="360" w:lineRule="auto"/>
        <w:ind w:firstLine="482" w:firstLineChars="200"/>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一、系统开放时间</w:t>
      </w:r>
    </w:p>
    <w:p>
      <w:pPr>
        <w:adjustRightInd w:val="0"/>
        <w:snapToGrid w:val="0"/>
        <w:spacing w:line="360" w:lineRule="auto"/>
        <w:ind w:firstLine="480" w:firstLineChars="200"/>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系统开始开放时间</w:t>
      </w:r>
      <w:r>
        <w:rPr>
          <w:rFonts w:hint="eastAsia" w:ascii="宋体" w:hAnsi="宋体" w:eastAsia="宋体" w:cs="宋体"/>
          <w:color w:val="000000" w:themeColor="text1"/>
          <w:kern w:val="0"/>
          <w:sz w:val="24"/>
          <w:szCs w:val="24"/>
          <w:lang w:eastAsia="zh-CN" w:bidi="ar"/>
          <w14:textFill>
            <w14:solidFill>
              <w14:schemeClr w14:val="tx1"/>
            </w14:solidFill>
          </w14:textFill>
        </w:rPr>
        <w:t>为2024年4月</w:t>
      </w:r>
      <w:r>
        <w:rPr>
          <w:rFonts w:hint="eastAsia" w:ascii="宋体" w:hAnsi="宋体" w:eastAsia="宋体" w:cs="宋体"/>
          <w:color w:val="000000" w:themeColor="text1"/>
          <w:kern w:val="0"/>
          <w:sz w:val="24"/>
          <w:szCs w:val="24"/>
          <w:lang w:val="en-US" w:eastAsia="zh-CN" w:bidi="ar"/>
          <w14:textFill>
            <w14:solidFill>
              <w14:schemeClr w14:val="tx1"/>
            </w14:solidFill>
          </w14:textFill>
        </w:rPr>
        <w:t>21</w:t>
      </w:r>
      <w:r>
        <w:rPr>
          <w:rFonts w:hint="eastAsia" w:ascii="宋体" w:hAnsi="宋体" w:eastAsia="宋体" w:cs="宋体"/>
          <w:color w:val="000000" w:themeColor="text1"/>
          <w:kern w:val="0"/>
          <w:sz w:val="24"/>
          <w:szCs w:val="24"/>
          <w:lang w:eastAsia="zh-CN" w:bidi="ar"/>
          <w14:textFill>
            <w14:solidFill>
              <w14:schemeClr w14:val="tx1"/>
            </w14:solidFill>
          </w14:textFill>
        </w:rPr>
        <w:t>日</w:t>
      </w:r>
      <w:r>
        <w:rPr>
          <w:rFonts w:hint="eastAsia" w:ascii="宋体" w:hAnsi="宋体" w:eastAsia="宋体" w:cs="宋体"/>
          <w:color w:val="000000" w:themeColor="text1"/>
          <w:kern w:val="0"/>
          <w:sz w:val="24"/>
          <w:szCs w:val="24"/>
          <w:lang w:val="en-US" w:eastAsia="zh-CN" w:bidi="ar"/>
          <w14:textFill>
            <w14:solidFill>
              <w14:schemeClr w14:val="tx1"/>
            </w14:solidFill>
          </w14:textFill>
        </w:rPr>
        <w:t>22</w:t>
      </w:r>
      <w:r>
        <w:rPr>
          <w:rFonts w:hint="eastAsia" w:ascii="宋体" w:hAnsi="宋体" w:eastAsia="宋体" w:cs="宋体"/>
          <w:color w:val="000000" w:themeColor="text1"/>
          <w:kern w:val="0"/>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0</w:t>
      </w:r>
      <w:r>
        <w:rPr>
          <w:rFonts w:hint="eastAsia" w:ascii="宋体" w:hAnsi="宋体" w:eastAsia="宋体" w:cs="宋体"/>
          <w:color w:val="000000" w:themeColor="text1"/>
          <w:kern w:val="0"/>
          <w:sz w:val="24"/>
          <w:szCs w:val="24"/>
          <w:lang w:eastAsia="zh-CN" w:bidi="ar"/>
          <w14:textFill>
            <w14:solidFill>
              <w14:schemeClr w14:val="tx1"/>
            </w14:solidFill>
          </w14:textFill>
        </w:rPr>
        <w:t>0</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开通时间不低于12个小时，</w:t>
      </w:r>
      <w:r>
        <w:rPr>
          <w:rFonts w:hint="eastAsia" w:ascii="宋体" w:hAnsi="宋体" w:eastAsia="宋体" w:cs="宋体"/>
          <w:color w:val="000000" w:themeColor="text1"/>
          <w:kern w:val="0"/>
          <w:sz w:val="24"/>
          <w:szCs w:val="24"/>
          <w:lang w:bidi="ar"/>
          <w14:textFill>
            <w14:solidFill>
              <w14:schemeClr w14:val="tx1"/>
            </w14:solidFill>
          </w14:textFill>
        </w:rPr>
        <w:t>关闭时间根据系统填报情况确定。</w:t>
      </w:r>
    </w:p>
    <w:p>
      <w:pPr>
        <w:numPr>
          <w:ilvl w:val="0"/>
          <w:numId w:val="1"/>
        </w:numPr>
        <w:adjustRightInd w:val="0"/>
        <w:snapToGrid w:val="0"/>
        <w:spacing w:line="360" w:lineRule="auto"/>
        <w:ind w:firstLine="482" w:firstLineChars="200"/>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t>接受调剂的学科</w:t>
      </w:r>
    </w:p>
    <w:tbl>
      <w:tblPr>
        <w:tblStyle w:val="4"/>
        <w:tblW w:w="7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2"/>
        <w:gridCol w:w="3882"/>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jc w:val="center"/>
        </w:trPr>
        <w:tc>
          <w:tcPr>
            <w:tcW w:w="21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学院</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adjustRightInd w:val="0"/>
              <w:snapToGrid w:val="0"/>
              <w:spacing w:line="360" w:lineRule="auto"/>
              <w:ind w:firstLine="964" w:firstLineChars="400"/>
              <w:rPr>
                <w:rFonts w:hint="eastAsia" w:ascii="宋体" w:hAnsi="宋体" w:eastAsia="宋体" w:cs="宋体"/>
                <w:b/>
                <w:bCs/>
                <w:i w:val="0"/>
                <w:iCs w:val="0"/>
                <w:color w:val="333333"/>
                <w:sz w:val="21"/>
                <w:szCs w:val="21"/>
                <w:u w:val="none"/>
              </w:rPr>
            </w:pPr>
            <w:r>
              <w:rPr>
                <w:rFonts w:hint="eastAsia" w:ascii="Times New Roman" w:hAnsi="Times New Roman" w:eastAsia="宋体" w:cs="Times New Roman"/>
                <w:b/>
                <w:bCs/>
                <w:color w:val="000000" w:themeColor="text1"/>
                <w:kern w:val="0"/>
                <w:sz w:val="24"/>
                <w:lang w:val="en-US" w:eastAsia="zh-CN" w:bidi="ar"/>
                <w14:textFill>
                  <w14:solidFill>
                    <w14:schemeClr w14:val="tx1"/>
                  </w14:solidFill>
                </w14:textFill>
              </w:rPr>
              <w:t>专业代码及名称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333333"/>
                <w:sz w:val="21"/>
                <w:szCs w:val="21"/>
                <w:u w:val="none"/>
              </w:rPr>
            </w:pPr>
            <w:r>
              <w:rPr>
                <w:rFonts w:hint="eastAsia" w:ascii="宋体" w:hAnsi="宋体" w:eastAsia="宋体" w:cs="宋体"/>
                <w:b/>
                <w:bCs/>
                <w:i w:val="0"/>
                <w:iCs w:val="0"/>
                <w:color w:val="333333"/>
                <w:kern w:val="0"/>
                <w:sz w:val="21"/>
                <w:szCs w:val="21"/>
                <w:u w:val="none"/>
                <w:lang w:val="en-US" w:eastAsia="zh-CN" w:bidi="ar"/>
              </w:rPr>
              <w:t>学习方式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21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商学院</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095137 农业管理</w:t>
            </w:r>
          </w:p>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(专业学位)</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非全日制</w:t>
            </w:r>
          </w:p>
        </w:tc>
      </w:tr>
    </w:tbl>
    <w:p>
      <w:pPr>
        <w:numPr>
          <w:ilvl w:val="0"/>
          <w:numId w:val="0"/>
        </w:numPr>
        <w:adjustRightInd w:val="0"/>
        <w:snapToGrid w:val="0"/>
        <w:spacing w:line="360" w:lineRule="auto"/>
        <w:rPr>
          <w:rFonts w:hint="default" w:ascii="Times New Roman" w:hAnsi="Times New Roman" w:eastAsia="宋体" w:cs="Times New Roman"/>
          <w:color w:val="000000" w:themeColor="text1"/>
          <w:kern w:val="0"/>
          <w:sz w:val="24"/>
          <w:lang w:val="en-US" w:eastAsia="zh-CN" w:bidi="ar"/>
          <w14:textFill>
            <w14:solidFill>
              <w14:schemeClr w14:val="tx1"/>
            </w14:solidFill>
          </w14:textFill>
        </w:rPr>
      </w:pPr>
    </w:p>
    <w:p>
      <w:pPr>
        <w:pStyle w:val="3"/>
        <w:ind w:left="0" w:leftChars="0" w:firstLine="241" w:firstLineChars="100"/>
        <w:rPr>
          <w:rFonts w:hint="eastAsia" w:ascii="宋体" w:hAnsi="宋体" w:eastAsia="宋体" w:cs="宋体"/>
          <w:b/>
          <w:bCs/>
          <w:color w:val="000000" w:themeColor="text1"/>
          <w:lang w:bidi="ar"/>
          <w14:textFill>
            <w14:solidFill>
              <w14:schemeClr w14:val="tx1"/>
            </w14:solidFill>
          </w14:textFill>
        </w:rPr>
      </w:pPr>
      <w:r>
        <w:rPr>
          <w:rFonts w:ascii="Times New Roman" w:hAnsi="Times New Roman"/>
          <w:b/>
          <w:bCs/>
          <w:color w:val="000000" w:themeColor="text1"/>
          <w:lang w:bidi="ar"/>
          <w14:textFill>
            <w14:solidFill>
              <w14:schemeClr w14:val="tx1"/>
            </w14:solidFill>
          </w14:textFill>
        </w:rPr>
        <w:t>三、具体要求</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sz w:val="24"/>
          <w:szCs w:val="24"/>
          <w:lang w:val="en-US" w:eastAsia="zh-CN" w:bidi="ar"/>
          <w14:textFill>
            <w14:solidFill>
              <w14:schemeClr w14:val="tx1"/>
            </w14:solidFill>
          </w14:textFill>
        </w:rPr>
        <w:t>1、</w:t>
      </w:r>
      <w:r>
        <w:rPr>
          <w:rFonts w:hint="eastAsia" w:ascii="宋体" w:hAnsi="宋体" w:eastAsia="宋体" w:cs="宋体"/>
          <w:color w:val="000000" w:themeColor="text1"/>
          <w:sz w:val="24"/>
          <w:szCs w:val="24"/>
          <w:lang w:bidi="ar"/>
          <w14:textFill>
            <w14:solidFill>
              <w14:schemeClr w14:val="tx1"/>
            </w14:solidFill>
          </w14:textFill>
        </w:rPr>
        <w:t>报考第一志愿专业的初试成绩</w:t>
      </w:r>
      <w:r>
        <w:rPr>
          <w:rFonts w:hint="eastAsia" w:ascii="宋体" w:hAnsi="宋体" w:eastAsia="宋体" w:cs="宋体"/>
          <w:color w:val="000000" w:themeColor="text1"/>
          <w:sz w:val="24"/>
          <w:szCs w:val="24"/>
          <w:lang w:val="en-US" w:eastAsia="zh-CN" w:bidi="ar"/>
          <w14:textFill>
            <w14:solidFill>
              <w14:schemeClr w14:val="tx1"/>
            </w14:solidFill>
          </w14:textFill>
        </w:rPr>
        <w:t>达到如下条件</w:t>
      </w:r>
      <w:r>
        <w:rPr>
          <w:rFonts w:hint="eastAsia" w:ascii="宋体" w:hAnsi="宋体" w:eastAsia="宋体" w:cs="宋体"/>
          <w:i w:val="0"/>
          <w:iCs w:val="0"/>
          <w:caps w:val="0"/>
          <w:color w:val="2B2E33"/>
          <w:spacing w:val="0"/>
          <w:sz w:val="24"/>
          <w:szCs w:val="24"/>
          <w:shd w:val="clear" w:fill="FFFFFF"/>
          <w:lang w:eastAsia="zh-CN"/>
        </w:rPr>
        <w:t>；</w:t>
      </w:r>
    </w:p>
    <w:tbl>
      <w:tblPr>
        <w:tblStyle w:val="4"/>
        <w:tblpPr w:leftFromText="180" w:rightFromText="180" w:vertAnchor="text" w:horzAnchor="page" w:tblpX="2063" w:tblpY="443"/>
        <w:tblOverlap w:val="never"/>
        <w:tblW w:w="4650" w:type="pct"/>
        <w:tblInd w:w="0" w:type="dxa"/>
        <w:shd w:val="clear" w:color="auto" w:fill="FFFFFF"/>
        <w:tblLayout w:type="autofit"/>
        <w:tblCellMar>
          <w:top w:w="0" w:type="dxa"/>
          <w:left w:w="0" w:type="dxa"/>
          <w:bottom w:w="0" w:type="dxa"/>
          <w:right w:w="0" w:type="dxa"/>
        </w:tblCellMar>
      </w:tblPr>
      <w:tblGrid>
        <w:gridCol w:w="1224"/>
        <w:gridCol w:w="2114"/>
        <w:gridCol w:w="998"/>
        <w:gridCol w:w="1760"/>
        <w:gridCol w:w="1841"/>
      </w:tblGrid>
      <w:tr>
        <w:tblPrEx>
          <w:shd w:val="clear" w:color="auto" w:fill="FFFFFF"/>
          <w:tblCellMar>
            <w:top w:w="0" w:type="dxa"/>
            <w:left w:w="0" w:type="dxa"/>
            <w:bottom w:w="0" w:type="dxa"/>
            <w:right w:w="0" w:type="dxa"/>
          </w:tblCellMar>
        </w:tblPrEx>
        <w:trPr>
          <w:trHeight w:val="495" w:hRule="atLeast"/>
        </w:trPr>
        <w:tc>
          <w:tcPr>
            <w:tcW w:w="771" w:type="pct"/>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学科门类</w:t>
            </w:r>
          </w:p>
        </w:tc>
        <w:tc>
          <w:tcPr>
            <w:tcW w:w="1331" w:type="pct"/>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top"/>
          </w:tcPr>
          <w:p>
            <w:pPr>
              <w:widowControl/>
              <w:spacing w:before="120" w:after="120" w:line="400" w:lineRule="atLeast"/>
              <w:jc w:val="center"/>
              <w:rPr>
                <w:rFonts w:hint="eastAsia" w:ascii="宋体" w:hAnsi="宋体" w:cs="宋体"/>
                <w:kern w:val="0"/>
                <w:szCs w:val="21"/>
                <w:lang w:val="en-US" w:eastAsia="zh-CN" w:bidi="ar"/>
              </w:rPr>
            </w:pPr>
            <w:r>
              <w:rPr>
                <w:rFonts w:hint="eastAsia" w:ascii="宋体" w:hAnsi="宋体" w:cs="宋体"/>
                <w:kern w:val="0"/>
                <w:szCs w:val="21"/>
                <w:lang w:val="en-US" w:eastAsia="zh-CN" w:bidi="ar"/>
              </w:rPr>
              <w:t>专业代码及名称</w:t>
            </w:r>
          </w:p>
        </w:tc>
        <w:tc>
          <w:tcPr>
            <w:tcW w:w="628" w:type="pct"/>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总分</w:t>
            </w:r>
          </w:p>
        </w:tc>
        <w:tc>
          <w:tcPr>
            <w:tcW w:w="1108" w:type="pct"/>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单科（满分=100）</w:t>
            </w:r>
          </w:p>
        </w:tc>
        <w:tc>
          <w:tcPr>
            <w:tcW w:w="1159" w:type="pct"/>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单科（满分&gt;100）</w:t>
            </w:r>
          </w:p>
        </w:tc>
      </w:tr>
      <w:tr>
        <w:tblPrEx>
          <w:shd w:val="clear" w:color="auto" w:fill="FFFFFF"/>
          <w:tblCellMar>
            <w:top w:w="0" w:type="dxa"/>
            <w:left w:w="0" w:type="dxa"/>
            <w:bottom w:w="0" w:type="dxa"/>
            <w:right w:w="0" w:type="dxa"/>
          </w:tblCellMar>
        </w:tblPrEx>
        <w:trPr>
          <w:trHeight w:val="394" w:hRule="atLeast"/>
        </w:trPr>
        <w:tc>
          <w:tcPr>
            <w:tcW w:w="771" w:type="pct"/>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09农学</w:t>
            </w:r>
          </w:p>
        </w:tc>
        <w:tc>
          <w:tcPr>
            <w:tcW w:w="1331" w:type="pct"/>
            <w:tcBorders>
              <w:top w:val="nil"/>
              <w:left w:val="nil"/>
              <w:bottom w:val="single" w:color="000000" w:sz="8" w:space="0"/>
              <w:right w:val="single" w:color="000000" w:sz="8" w:space="0"/>
            </w:tcBorders>
            <w:shd w:val="clear" w:color="auto" w:fill="FFFFFF"/>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095137 农业管理</w:t>
            </w:r>
          </w:p>
          <w:p>
            <w:pPr>
              <w:keepNext w:val="0"/>
              <w:keepLines w:val="0"/>
              <w:widowControl/>
              <w:suppressLineNumbers w:val="0"/>
              <w:jc w:val="center"/>
              <w:textAlignment w:val="top"/>
              <w:rPr>
                <w:rFonts w:hint="eastAsia" w:ascii="宋体" w:hAnsi="宋体" w:cs="宋体"/>
                <w:kern w:val="0"/>
                <w:szCs w:val="21"/>
                <w:lang w:val="en-US" w:eastAsia="zh-CN" w:bidi="ar"/>
              </w:rPr>
            </w:pPr>
            <w:r>
              <w:rPr>
                <w:rFonts w:hint="eastAsia" w:ascii="宋体" w:hAnsi="宋体" w:eastAsia="宋体" w:cs="宋体"/>
                <w:i w:val="0"/>
                <w:iCs w:val="0"/>
                <w:color w:val="000000"/>
                <w:kern w:val="0"/>
                <w:sz w:val="21"/>
                <w:szCs w:val="21"/>
                <w:u w:val="none"/>
                <w:lang w:val="en-US" w:eastAsia="zh-CN" w:bidi="ar"/>
              </w:rPr>
              <w:t>(专业学</w:t>
            </w:r>
            <w:bookmarkStart w:id="0" w:name="_GoBack"/>
            <w:bookmarkEnd w:id="0"/>
            <w:r>
              <w:rPr>
                <w:rFonts w:hint="eastAsia" w:ascii="宋体" w:hAnsi="宋体" w:eastAsia="宋体" w:cs="宋体"/>
                <w:i w:val="0"/>
                <w:iCs w:val="0"/>
                <w:color w:val="000000"/>
                <w:kern w:val="0"/>
                <w:sz w:val="21"/>
                <w:szCs w:val="21"/>
                <w:u w:val="none"/>
                <w:lang w:val="en-US" w:eastAsia="zh-CN" w:bidi="ar"/>
              </w:rPr>
              <w:t>位)</w:t>
            </w:r>
          </w:p>
        </w:tc>
        <w:tc>
          <w:tcPr>
            <w:tcW w:w="628" w:type="pc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310</w:t>
            </w:r>
          </w:p>
        </w:tc>
        <w:tc>
          <w:tcPr>
            <w:tcW w:w="1108" w:type="pc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33</w:t>
            </w:r>
          </w:p>
        </w:tc>
        <w:tc>
          <w:tcPr>
            <w:tcW w:w="1159" w:type="pct"/>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pPr>
              <w:widowControl/>
              <w:spacing w:before="120" w:after="120" w:line="400" w:lineRule="atLeast"/>
              <w:jc w:val="center"/>
              <w:rPr>
                <w:rFonts w:ascii="宋体" w:hAnsi="宋体" w:cs="宋体"/>
                <w:szCs w:val="21"/>
              </w:rPr>
            </w:pPr>
            <w:r>
              <w:rPr>
                <w:rFonts w:hint="eastAsia" w:ascii="宋体" w:hAnsi="宋体" w:cs="宋体"/>
                <w:kern w:val="0"/>
                <w:szCs w:val="21"/>
                <w:lang w:bidi="ar"/>
              </w:rPr>
              <w:t>50</w:t>
            </w:r>
          </w:p>
        </w:tc>
      </w:tr>
    </w:tbl>
    <w:p>
      <w:pPr>
        <w:pStyle w:val="3"/>
        <w:rPr>
          <w:rFonts w:hint="eastAsia" w:ascii="宋体" w:hAnsi="宋体" w:eastAsia="宋体" w:cs="宋体"/>
          <w:color w:val="000000" w:themeColor="text1"/>
          <w:lang w:eastAsia="zh-CN"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 xml:space="preserve">2. </w:t>
      </w:r>
      <w:r>
        <w:rPr>
          <w:rFonts w:hint="eastAsia" w:ascii="宋体" w:hAnsi="宋体" w:eastAsia="宋体" w:cs="宋体"/>
          <w:color w:val="000000" w:themeColor="text1"/>
          <w:lang w:eastAsia="zh-CN" w:bidi="ar"/>
          <w14:textFill>
            <w14:solidFill>
              <w14:schemeClr w14:val="tx1"/>
            </w14:solidFill>
          </w14:textFill>
        </w:rPr>
        <w:t>符合国家规定的农业管理（095137）非全日制研究生报考条件。</w:t>
      </w:r>
    </w:p>
    <w:p>
      <w:pPr>
        <w:pStyle w:val="3"/>
        <w:ind w:firstLine="482"/>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四、具体流程</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1. 中国研究生招生信息网（http://yz.chsi.com.cn/，以下简称研招网）调剂平台开通后，考生务必及时登录研招网调剂系统，认真填写、提交调剂志愿，进行网上调剂申请，否则调剂无效。</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2. 学院将根据考生专业背景、初试</w:t>
      </w:r>
      <w:r>
        <w:rPr>
          <w:rFonts w:hint="eastAsia" w:ascii="宋体" w:hAnsi="宋体" w:eastAsia="宋体" w:cs="宋体"/>
          <w:color w:val="000000" w:themeColor="text1"/>
          <w:lang w:val="en-US" w:eastAsia="zh-CN" w:bidi="ar"/>
          <w14:textFill>
            <w14:solidFill>
              <w14:schemeClr w14:val="tx1"/>
            </w14:solidFill>
          </w14:textFill>
        </w:rPr>
        <w:t>总</w:t>
      </w:r>
      <w:r>
        <w:rPr>
          <w:rFonts w:hint="eastAsia" w:ascii="宋体" w:hAnsi="宋体" w:eastAsia="宋体" w:cs="宋体"/>
          <w:color w:val="000000" w:themeColor="text1"/>
          <w:lang w:bidi="ar"/>
          <w14:textFill>
            <w14:solidFill>
              <w14:schemeClr w14:val="tx1"/>
            </w14:solidFill>
          </w14:textFill>
        </w:rPr>
        <w:t>成绩等情况，在研招网调剂系统向符合要求的考生发送复试通知。考生需在规定时间内登录调剂系统确认并加入调剂考生QQ群，逾期视为放弃。</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3. 学院将在研招网调剂系统中通知拟录取考生，请考生及时在网上确认。若考生在规定时间内没有做出明确答复，将取消其待录取资格。</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4. 调剂结束后，所有待录取考生须通过教育部录检，才可正式获得录取资格。</w:t>
      </w:r>
    </w:p>
    <w:p>
      <w:pPr>
        <w:pStyle w:val="3"/>
        <w:ind w:firstLine="482"/>
        <w:rPr>
          <w:rFonts w:hint="eastAsia" w:ascii="宋体" w:hAnsi="宋体" w:eastAsia="宋体" w:cs="宋体"/>
          <w:b/>
          <w:bCs/>
          <w:color w:val="000000" w:themeColor="text1"/>
          <w:lang w:bidi="ar"/>
          <w14:textFill>
            <w14:solidFill>
              <w14:schemeClr w14:val="tx1"/>
            </w14:solidFill>
          </w14:textFill>
        </w:rPr>
      </w:pPr>
      <w:r>
        <w:rPr>
          <w:rFonts w:hint="eastAsia" w:ascii="宋体" w:hAnsi="宋体" w:eastAsia="宋体" w:cs="宋体"/>
          <w:b/>
          <w:bCs/>
          <w:color w:val="000000" w:themeColor="text1"/>
          <w:lang w:bidi="ar"/>
          <w14:textFill>
            <w14:solidFill>
              <w14:schemeClr w14:val="tx1"/>
            </w14:solidFill>
          </w14:textFill>
        </w:rPr>
        <w:t>五、奖励政策</w:t>
      </w:r>
    </w:p>
    <w:p>
      <w:pPr>
        <w:pStyle w:val="3"/>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color w:val="000000" w:themeColor="text1"/>
          <w:lang w:bidi="ar"/>
          <w14:textFill>
            <w14:solidFill>
              <w14:schemeClr w14:val="tx1"/>
            </w14:solidFill>
          </w14:textFill>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pPr>
        <w:pStyle w:val="3"/>
        <w:ind w:firstLine="482"/>
        <w:rPr>
          <w:rFonts w:hint="eastAsia" w:ascii="宋体" w:hAnsi="宋体" w:eastAsia="宋体" w:cs="宋体"/>
          <w:color w:val="000000" w:themeColor="text1"/>
          <w:lang w:bidi="ar"/>
          <w14:textFill>
            <w14:solidFill>
              <w14:schemeClr w14:val="tx1"/>
            </w14:solidFill>
          </w14:textFill>
        </w:rPr>
      </w:pPr>
      <w:r>
        <w:rPr>
          <w:rFonts w:hint="eastAsia" w:ascii="宋体" w:hAnsi="宋体" w:eastAsia="宋体" w:cs="宋体"/>
          <w:b/>
          <w:bCs/>
          <w:color w:val="000000" w:themeColor="text1"/>
          <w:lang w:val="en-US" w:eastAsia="zh-CN" w:bidi="ar"/>
          <w14:textFill>
            <w14:solidFill>
              <w14:schemeClr w14:val="tx1"/>
            </w14:solidFill>
          </w14:textFill>
        </w:rPr>
        <w:t>六</w:t>
      </w:r>
      <w:r>
        <w:rPr>
          <w:rFonts w:hint="eastAsia" w:ascii="宋体" w:hAnsi="宋体" w:eastAsia="宋体" w:cs="宋体"/>
          <w:b/>
          <w:bCs/>
          <w:color w:val="000000" w:themeColor="text1"/>
          <w:lang w:bidi="ar"/>
          <w14:textFill>
            <w14:solidFill>
              <w14:schemeClr w14:val="tx1"/>
            </w14:solidFill>
          </w14:textFill>
        </w:rPr>
        <w:t>、其他要求</w:t>
      </w:r>
    </w:p>
    <w:p>
      <w:pPr>
        <w:pStyle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其他事项按照《中南林业科技大学2024年硕士研究生招生复试与录取工作方案》执行。</w:t>
      </w:r>
    </w:p>
    <w:p>
      <w:pPr>
        <w:pStyle w:val="3"/>
        <w:ind w:firstLine="482"/>
        <w:rPr>
          <w:rFonts w:ascii="Times New Roman" w:hAnsi="Times New Roman"/>
          <w:b/>
          <w:bCs/>
          <w:color w:val="000000" w:themeColor="text1"/>
          <w:lang w:bidi="ar"/>
          <w14:textFill>
            <w14:solidFill>
              <w14:schemeClr w14:val="tx1"/>
            </w14:solidFill>
          </w14:textFill>
        </w:rPr>
      </w:pPr>
    </w:p>
    <w:p>
      <w:pPr>
        <w:pStyle w:val="3"/>
        <w:ind w:firstLine="482"/>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研究生院网站：https://yjsb.csuft.edu.cn/</w:t>
      </w:r>
    </w:p>
    <w:p>
      <w:pPr>
        <w:pStyle w:val="3"/>
        <w:ind w:firstLine="482"/>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商学院网站：https://sxy.csuft.edu.cn/</w:t>
      </w:r>
    </w:p>
    <w:p>
      <w:pPr>
        <w:pStyle w:val="3"/>
        <w:ind w:firstLine="482"/>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商学院研究生招生办公室电话：0731-85623159</w:t>
      </w:r>
    </w:p>
    <w:p>
      <w:pPr>
        <w:pStyle w:val="3"/>
        <w:rPr>
          <w:rFonts w:ascii="Times New Roman" w:hAnsi="Times New Roman"/>
          <w:color w:val="000000" w:themeColor="text1"/>
          <w:lang w:bidi="ar"/>
          <w14:textFill>
            <w14:solidFill>
              <w14:schemeClr w14:val="tx1"/>
            </w14:solidFill>
          </w14:textFill>
        </w:rPr>
      </w:pPr>
    </w:p>
    <w:p>
      <w:pPr>
        <w:pStyle w:val="3"/>
        <w:ind w:firstLine="6720" w:firstLineChars="2800"/>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商学院</w:t>
      </w:r>
    </w:p>
    <w:p>
      <w:pPr>
        <w:pStyle w:val="3"/>
        <w:ind w:firstLine="6240" w:firstLineChars="2600"/>
        <w:rPr>
          <w:rFonts w:ascii="Times New Roman" w:hAnsi="Times New Roman"/>
          <w:color w:val="000000" w:themeColor="text1"/>
          <w:lang w:bidi="ar"/>
          <w14:textFill>
            <w14:solidFill>
              <w14:schemeClr w14:val="tx1"/>
            </w14:solidFill>
          </w14:textFill>
        </w:rPr>
      </w:pPr>
      <w:r>
        <w:rPr>
          <w:rFonts w:ascii="Times New Roman" w:hAnsi="Times New Roman"/>
          <w:color w:val="000000" w:themeColor="text1"/>
          <w:lang w:bidi="ar"/>
          <w14:textFill>
            <w14:solidFill>
              <w14:schemeClr w14:val="tx1"/>
            </w14:solidFill>
          </w14:textFill>
        </w:rPr>
        <w:t>2024年4月</w:t>
      </w:r>
      <w:r>
        <w:rPr>
          <w:rFonts w:hint="eastAsia" w:ascii="Times New Roman" w:hAnsi="Times New Roman"/>
          <w:color w:val="000000" w:themeColor="text1"/>
          <w:lang w:val="en-US" w:eastAsia="zh-CN" w:bidi="ar"/>
          <w14:textFill>
            <w14:solidFill>
              <w14:schemeClr w14:val="tx1"/>
            </w14:solidFill>
          </w14:textFill>
        </w:rPr>
        <w:t>21</w:t>
      </w:r>
      <w:r>
        <w:rPr>
          <w:rFonts w:ascii="Times New Roman" w:hAnsi="Times New Roman"/>
          <w:color w:val="000000" w:themeColor="text1"/>
          <w:lang w:bidi="ar"/>
          <w14:textFill>
            <w14:solidFill>
              <w14:schemeClr w14:val="tx1"/>
            </w14:solidFill>
          </w14:textFill>
        </w:rPr>
        <w:t>日</w:t>
      </w: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58BC19"/>
    <w:multiLevelType w:val="singleLevel"/>
    <w:tmpl w:val="A958BC1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Dk5ZjcxYjZiNzU0MzY3YjdlY2IwMDU4MTQzMDEifQ=="/>
  </w:docVars>
  <w:rsids>
    <w:rsidRoot w:val="00000000"/>
    <w:rsid w:val="09B953C1"/>
    <w:rsid w:val="10376C1E"/>
    <w:rsid w:val="11213EA8"/>
    <w:rsid w:val="11BD3C8A"/>
    <w:rsid w:val="17680005"/>
    <w:rsid w:val="229E2E42"/>
    <w:rsid w:val="378818DC"/>
    <w:rsid w:val="5B4D1037"/>
    <w:rsid w:val="5C2F421A"/>
    <w:rsid w:val="6BEC358E"/>
    <w:rsid w:val="71BE3C1E"/>
    <w:rsid w:val="7B2014A6"/>
    <w:rsid w:val="7CBD11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widowControl/>
      <w:spacing w:line="420" w:lineRule="auto"/>
      <w:ind w:firstLine="480" w:firstLineChars="200"/>
    </w:pPr>
    <w:rPr>
      <w:rFonts w:cs="Times New Roman"/>
      <w:kern w:val="0"/>
      <w:sz w:val="24"/>
    </w:rPr>
  </w:style>
  <w:style w:type="character" w:styleId="6">
    <w:name w:val="Strong"/>
    <w:basedOn w:val="5"/>
    <w:autoRedefine/>
    <w:qFormat/>
    <w:uiPriority w:val="0"/>
    <w:rPr>
      <w:b/>
    </w:rPr>
  </w:style>
  <w:style w:type="character" w:customStyle="1" w:styleId="7">
    <w:name w:val="font41"/>
    <w:basedOn w:val="5"/>
    <w:autoRedefine/>
    <w:qFormat/>
    <w:uiPriority w:val="0"/>
    <w:rPr>
      <w:rFonts w:hint="eastAsia" w:ascii="宋体" w:hAnsi="宋体" w:eastAsia="宋体" w:cs="宋体"/>
      <w:b/>
      <w:bCs/>
      <w:color w:val="000000"/>
      <w:sz w:val="18"/>
      <w:szCs w:val="18"/>
      <w:u w:val="none"/>
    </w:rPr>
  </w:style>
  <w:style w:type="character" w:customStyle="1" w:styleId="8">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354</Words>
  <Characters>2021</Characters>
  <Lines>16</Lines>
  <Paragraphs>4</Paragraphs>
  <TotalTime>1</TotalTime>
  <ScaleCrop>false</ScaleCrop>
  <LinksUpToDate>false</LinksUpToDate>
  <CharactersWithSpaces>2371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2022-03-31T23:57:00Z</dcterms:created>
  <dc:creator>ljs01</dc:creator>
  <cp:lastModifiedBy>小玫子</cp:lastModifiedBy>
  <dcterms:modified xsi:type="dcterms:W3CDTF">2024-04-21T13:03:21Z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716757D70FE84BA690B6F436F7D838B2_13</vt:lpwstr>
  </property>
</Properties>
</file>