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0D42F">
      <w:pPr>
        <w:pStyle w:val="14"/>
        <w:widowControl/>
      </w:pPr>
      <w:r>
        <w:t>物流学院2025年硕士研究生调剂公告</w:t>
      </w:r>
    </w:p>
    <w:p w14:paraId="7FF6BEAC">
      <w:pPr>
        <w:pStyle w:val="13"/>
        <w:rPr>
          <w:rFonts w:ascii="Times New Roman" w:hAnsi="Times New Roman"/>
        </w:rPr>
      </w:pPr>
    </w:p>
    <w:p w14:paraId="1334D024">
      <w:pPr>
        <w:pStyle w:val="11"/>
        <w:widowControl/>
      </w:pPr>
      <w:r>
        <w:t>各位考生：</w:t>
      </w:r>
    </w:p>
    <w:p w14:paraId="4EC44439">
      <w:pPr>
        <w:pStyle w:val="11"/>
        <w:widowControl/>
      </w:pPr>
      <w:r>
        <w:t>我院全日制</w:t>
      </w:r>
      <w:r>
        <w:rPr>
          <w:i w:val="0"/>
          <w:color w:val="000000"/>
          <w:u w:val="none"/>
        </w:rPr>
        <w:t>管理科学与工程（120100）、非全日制物流工程与管理（125604）</w:t>
      </w:r>
      <w:r>
        <w:t>现有少量调剂名额，将开放调剂系统。所有考生的调剂录取都须通过中国研究生招生信息网的“调剂服务系统”进行。请注意如下事项：</w:t>
      </w:r>
    </w:p>
    <w:p w14:paraId="625FBEF9">
      <w:pPr>
        <w:pStyle w:val="2"/>
        <w:numPr>
          <w:ilvl w:val="0"/>
          <w:numId w:val="1"/>
        </w:numPr>
        <w:topLinePunct w:val="0"/>
        <w:ind w:left="0" w:leftChars="0" w:firstLine="0" w:firstLineChars="0"/>
        <w:jc w:val="left"/>
        <w:rPr>
          <w:b w:val="0"/>
        </w:rPr>
      </w:pPr>
      <w:r>
        <w:t>系统开放时间</w:t>
      </w:r>
    </w:p>
    <w:p w14:paraId="2F1F0BFE">
      <w:pPr>
        <w:pStyle w:val="11"/>
        <w:rPr>
          <w:color w:val="000000" w:themeColor="text1"/>
          <w14:textFill>
            <w14:solidFill>
              <w14:schemeClr w14:val="tx1"/>
            </w14:solidFill>
          </w14:textFill>
        </w:rPr>
      </w:pPr>
      <w:r>
        <w:rPr>
          <w:color w:val="000000" w:themeColor="text1"/>
          <w14:textFill>
            <w14:solidFill>
              <w14:schemeClr w14:val="tx1"/>
            </w14:solidFill>
          </w14:textFill>
        </w:rPr>
        <w:t>4月</w:t>
      </w:r>
      <w:r>
        <w:rPr>
          <w:rFonts w:hint="eastAsia"/>
          <w:color w:val="000000" w:themeColor="text1"/>
          <w:lang w:eastAsia="zh-CN"/>
          <w14:textFill>
            <w14:solidFill>
              <w14:schemeClr w14:val="tx1"/>
            </w14:solidFill>
          </w14:textFill>
        </w:rPr>
        <w:t>1</w:t>
      </w:r>
      <w:r>
        <w:rPr>
          <w:rFonts w:hint="eastAsia"/>
          <w:color w:val="000000" w:themeColor="text1"/>
          <w:lang w:val="en-US" w:eastAsia="zh-CN"/>
          <w14:textFill>
            <w14:solidFill>
              <w14:schemeClr w14:val="tx1"/>
            </w14:solidFill>
          </w14:textFill>
        </w:rPr>
        <w:t>8</w:t>
      </w:r>
      <w:r>
        <w:rPr>
          <w:color w:val="000000" w:themeColor="text1"/>
          <w14:textFill>
            <w14:solidFill>
              <w14:schemeClr w14:val="tx1"/>
            </w14:solidFill>
          </w14:textFill>
        </w:rPr>
        <w:t>日</w:t>
      </w:r>
      <w:r>
        <w:rPr>
          <w:rFonts w:hint="eastAsia"/>
          <w:color w:val="000000" w:themeColor="text1"/>
          <w:lang w:val="en-US" w:eastAsia="zh-CN"/>
          <w14:textFill>
            <w14:solidFill>
              <w14:schemeClr w14:val="tx1"/>
            </w14:solidFill>
          </w14:textFill>
        </w:rPr>
        <w:t>上午10:00</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开通时长不低于12小时，关闭时间根据系统填报情况确定。</w:t>
      </w:r>
    </w:p>
    <w:p w14:paraId="33101AF5">
      <w:pPr>
        <w:pStyle w:val="2"/>
        <w:numPr>
          <w:ilvl w:val="0"/>
          <w:numId w:val="1"/>
        </w:numPr>
        <w:topLinePunct w:val="0"/>
        <w:ind w:left="0" w:leftChars="0" w:firstLine="0" w:firstLineChars="0"/>
        <w:jc w:val="left"/>
        <w:rPr>
          <w:b w:val="0"/>
        </w:rPr>
      </w:pPr>
      <w:r>
        <w:t>接受调剂的学科</w:t>
      </w:r>
      <w:bookmarkStart w:id="0" w:name="_GoBack"/>
      <w:bookmarkEnd w:id="0"/>
    </w:p>
    <w:p w14:paraId="4EF244CB">
      <w:pPr>
        <w:keepNext w:val="0"/>
        <w:keepLines w:val="0"/>
        <w:pageBreakBefore w:val="0"/>
        <w:kinsoku/>
        <w:wordWrap/>
        <w:overflowPunct/>
        <w:topLinePunct w:val="0"/>
        <w:autoSpaceDE/>
        <w:autoSpaceDN/>
        <w:bidi w:val="0"/>
        <w:adjustRightInd w:val="0"/>
        <w:snapToGrid w:val="0"/>
        <w:rPr>
          <w:rFonts w:hint="eastAsia" w:ascii="宋体" w:hAnsi="宋体" w:eastAsia="宋体" w:cs="宋体"/>
          <w:b/>
          <w:bCs/>
          <w:kern w:val="0"/>
          <w:sz w:val="24"/>
          <w:szCs w:val="24"/>
          <w:lang w:bidi="ar"/>
        </w:rPr>
      </w:pPr>
    </w:p>
    <w:tbl>
      <w:tblPr>
        <w:tblStyle w:val="15"/>
        <w:tblW w:w="6798" w:type="dxa"/>
        <w:tblInd w:w="4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23"/>
        <w:gridCol w:w="2227"/>
        <w:gridCol w:w="1848"/>
      </w:tblGrid>
      <w:tr w14:paraId="73571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1F31">
            <w:pPr>
              <w:keepNext w:val="0"/>
              <w:keepLines w:val="0"/>
              <w:pageBreakBefore w:val="0"/>
              <w:widowControl/>
              <w:suppressLineNumbers w:val="0"/>
              <w:kinsoku/>
              <w:wordWrap/>
              <w:overflowPunct/>
              <w:topLinePunct w:val="0"/>
              <w:autoSpaceDE/>
              <w:autoSpaceDN/>
              <w:bidi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专业代码及名称</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DF30">
            <w:pPr>
              <w:keepNext w:val="0"/>
              <w:keepLines w:val="0"/>
              <w:pageBreakBefore w:val="0"/>
              <w:widowControl/>
              <w:suppressLineNumbers w:val="0"/>
              <w:kinsoku/>
              <w:wordWrap/>
              <w:overflowPunct/>
              <w:topLinePunct w:val="0"/>
              <w:autoSpaceDE/>
              <w:autoSpaceDN/>
              <w:bidi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研究方向</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1108">
            <w:pPr>
              <w:keepNext w:val="0"/>
              <w:keepLines w:val="0"/>
              <w:pageBreakBefore w:val="0"/>
              <w:widowControl/>
              <w:suppressLineNumbers w:val="0"/>
              <w:kinsoku/>
              <w:wordWrap/>
              <w:overflowPunct/>
              <w:topLinePunct w:val="0"/>
              <w:autoSpaceDE/>
              <w:autoSpaceDN/>
              <w:bidi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学习方式</w:t>
            </w:r>
          </w:p>
        </w:tc>
      </w:tr>
      <w:tr w14:paraId="1389C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924E">
            <w:pPr>
              <w:keepNext w:val="0"/>
              <w:keepLines w:val="0"/>
              <w:pageBreakBefore w:val="0"/>
              <w:widowControl/>
              <w:suppressLineNumbers w:val="0"/>
              <w:kinsoku/>
              <w:wordWrap/>
              <w:overflowPunct/>
              <w:topLinePunct w:val="0"/>
              <w:autoSpaceDE/>
              <w:autoSpaceDN/>
              <w:bidi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120100管理科学与工程</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51B5">
            <w:pPr>
              <w:keepNext w:val="0"/>
              <w:keepLines w:val="0"/>
              <w:pageBreakBefore w:val="0"/>
              <w:widowControl/>
              <w:suppressLineNumbers w:val="0"/>
              <w:kinsoku/>
              <w:wordWrap/>
              <w:overflowPunct/>
              <w:topLinePunct w:val="0"/>
              <w:autoSpaceDE/>
              <w:autoSpaceDN/>
              <w:bidi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00不区分研究方向</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109D">
            <w:pPr>
              <w:keepNext w:val="0"/>
              <w:keepLines w:val="0"/>
              <w:pageBreakBefore w:val="0"/>
              <w:widowControl/>
              <w:suppressLineNumbers w:val="0"/>
              <w:kinsoku/>
              <w:wordWrap/>
              <w:overflowPunct/>
              <w:topLinePunct w:val="0"/>
              <w:autoSpaceDE/>
              <w:autoSpaceDN/>
              <w:bidi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全日制</w:t>
            </w:r>
          </w:p>
        </w:tc>
      </w:tr>
      <w:tr w14:paraId="1A42E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9A1A">
            <w:pPr>
              <w:keepNext w:val="0"/>
              <w:keepLines w:val="0"/>
              <w:pageBreakBefore w:val="0"/>
              <w:widowControl/>
              <w:suppressLineNumbers w:val="0"/>
              <w:kinsoku/>
              <w:wordWrap/>
              <w:overflowPunct/>
              <w:topLinePunct w:val="0"/>
              <w:autoSpaceDE/>
              <w:autoSpaceDN/>
              <w:bidi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125604物流工程与管理</w:t>
            </w:r>
            <w:r>
              <w:rPr>
                <w:rFonts w:hint="eastAsia" w:ascii="宋体" w:hAnsi="宋体" w:eastAsia="宋体" w:cs="宋体"/>
                <w:i w:val="0"/>
                <w:iCs w:val="0"/>
                <w:color w:val="000000"/>
                <w:kern w:val="0"/>
                <w:sz w:val="24"/>
                <w:szCs w:val="24"/>
                <w:u w:val="none"/>
                <w:lang w:val="en-US" w:eastAsia="zh-CN" w:bidi="ar"/>
              </w:rPr>
              <w:br w:type="textWrapping"/>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6104">
            <w:pPr>
              <w:keepNext w:val="0"/>
              <w:keepLines w:val="0"/>
              <w:pageBreakBefore w:val="0"/>
              <w:widowControl/>
              <w:suppressLineNumbers w:val="0"/>
              <w:kinsoku/>
              <w:wordWrap/>
              <w:overflowPunct/>
              <w:topLinePunct w:val="0"/>
              <w:autoSpaceDE/>
              <w:autoSpaceDN/>
              <w:bidi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00不区分研究方向</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B39F">
            <w:pPr>
              <w:keepNext w:val="0"/>
              <w:keepLines w:val="0"/>
              <w:pageBreakBefore w:val="0"/>
              <w:widowControl/>
              <w:suppressLineNumbers w:val="0"/>
              <w:kinsoku/>
              <w:wordWrap/>
              <w:overflowPunct/>
              <w:topLinePunct w:val="0"/>
              <w:autoSpaceDE/>
              <w:autoSpaceDN/>
              <w:bidi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非全日制</w:t>
            </w:r>
          </w:p>
        </w:tc>
      </w:tr>
    </w:tbl>
    <w:p w14:paraId="6777FE70">
      <w:pPr>
        <w:keepNext w:val="0"/>
        <w:keepLines w:val="0"/>
        <w:pageBreakBefore w:val="0"/>
        <w:kinsoku/>
        <w:wordWrap/>
        <w:overflowPunct/>
        <w:topLinePunct w:val="0"/>
        <w:autoSpaceDE/>
        <w:autoSpaceDN/>
        <w:bidi w:val="0"/>
        <w:adjustRightInd w:val="0"/>
        <w:snapToGrid w:val="0"/>
        <w:rPr>
          <w:rFonts w:hint="eastAsia" w:ascii="宋体" w:hAnsi="宋体" w:eastAsia="宋体" w:cs="宋体"/>
          <w:b/>
          <w:bCs/>
          <w:kern w:val="0"/>
          <w:sz w:val="24"/>
          <w:szCs w:val="24"/>
          <w:lang w:bidi="ar"/>
        </w:rPr>
      </w:pPr>
    </w:p>
    <w:p w14:paraId="168A5DEA">
      <w:pPr>
        <w:pStyle w:val="2"/>
        <w:widowControl/>
        <w:numPr>
          <w:ilvl w:val="0"/>
          <w:numId w:val="1"/>
        </w:numPr>
        <w:topLinePunct w:val="0"/>
        <w:ind w:left="0" w:leftChars="0" w:firstLine="0" w:firstLineChars="0"/>
        <w:jc w:val="left"/>
        <w:rPr>
          <w:b w:val="0"/>
        </w:rPr>
      </w:pPr>
      <w:r>
        <w:t>具体要求</w:t>
      </w:r>
    </w:p>
    <w:p w14:paraId="4FBBC846">
      <w:pPr>
        <w:pStyle w:val="13"/>
        <w:keepNext w:val="0"/>
        <w:keepLines w:val="0"/>
        <w:pageBreakBefore w:val="0"/>
        <w:widowControl/>
        <w:kinsoku/>
        <w:wordWrap/>
        <w:overflowPunct/>
        <w:topLinePunct w:val="0"/>
        <w:autoSpaceDE/>
        <w:autoSpaceDN/>
        <w:bidi w:val="0"/>
        <w:spacing w:beforeAutospacing="0" w:afterAutospacing="0"/>
        <w:ind w:firstLine="482" w:firstLineChars="200"/>
        <w:rPr>
          <w:rFonts w:hint="eastAsia" w:ascii="宋体" w:hAnsi="宋体" w:eastAsia="宋体" w:cs="宋体"/>
          <w:b/>
          <w:bCs/>
        </w:rPr>
      </w:pPr>
    </w:p>
    <w:p w14:paraId="620064B1">
      <w:pPr>
        <w:pStyle w:val="3"/>
        <w:widowControl/>
        <w:numPr>
          <w:ilvl w:val="0"/>
          <w:numId w:val="2"/>
        </w:numPr>
        <w:topLinePunct w:val="0"/>
        <w:ind w:left="0" w:leftChars="0" w:firstLine="0" w:firstLineChars="0"/>
        <w:rPr>
          <w:b/>
          <w:u w:val="none"/>
        </w:rPr>
      </w:pPr>
      <w:r>
        <w:rPr>
          <w:u w:val="none"/>
        </w:rPr>
        <w:t>120100管理科学与工程（全日制）</w:t>
      </w:r>
    </w:p>
    <w:p w14:paraId="0F25239C">
      <w:pPr>
        <w:pStyle w:val="11"/>
        <w:widowControl/>
        <w:numPr>
          <w:ilvl w:val="0"/>
          <w:numId w:val="3"/>
        </w:numPr>
        <w:ind w:left="0" w:leftChars="0" w:firstLine="642" w:firstLineChars="0"/>
        <w:rPr>
          <w:b w:val="0"/>
        </w:rPr>
      </w:pPr>
      <w:r>
        <w:t>报考第一志愿专业的初试成绩达到教育部统一规定的硕士生A类地区复试资格线所规定的总分和单科分数要求。</w:t>
      </w:r>
    </w:p>
    <w:p w14:paraId="65537450">
      <w:pPr>
        <w:pStyle w:val="11"/>
        <w:widowControl/>
        <w:numPr>
          <w:ilvl w:val="0"/>
          <w:numId w:val="3"/>
        </w:numPr>
        <w:ind w:left="0" w:leftChars="0" w:firstLine="642" w:firstLineChars="0"/>
        <w:rPr>
          <w:b w:val="0"/>
        </w:rPr>
      </w:pPr>
      <w:r>
        <w:t>第一志愿报考专业初试统考科目须与</w:t>
      </w:r>
      <w:r>
        <w:rPr>
          <w:i w:val="0"/>
          <w:color w:val="000000"/>
          <w:u w:val="none"/>
        </w:rPr>
        <w:t>管理科学与工程（120100）</w:t>
      </w:r>
      <w:r>
        <w:t>专业初试统考科目相同或相近。</w:t>
      </w:r>
      <w:r>
        <w:rPr>
          <w:i w:val="0"/>
          <w:color w:val="000000"/>
          <w:u w:val="none"/>
        </w:rPr>
        <w:t>管理科学与工程（120100）</w:t>
      </w:r>
      <w:r>
        <w:t>在除在12管理学门类调剂外，接受跨</w:t>
      </w:r>
      <w:r>
        <w:rPr>
          <w:b w:val="0"/>
        </w:rPr>
        <w:t>计算机科学与技术（0812）、 数学（0701）、系统科学（0711）</w:t>
      </w:r>
      <w:r>
        <w:t>等学科下跨门类调剂招生；</w:t>
      </w:r>
    </w:p>
    <w:p w14:paraId="5EB7A0DE">
      <w:pPr>
        <w:pStyle w:val="11"/>
        <w:widowControl/>
        <w:numPr>
          <w:ilvl w:val="0"/>
          <w:numId w:val="3"/>
        </w:numPr>
        <w:ind w:left="0" w:leftChars="0" w:firstLine="642" w:firstLineChars="0"/>
        <w:rPr>
          <w:b w:val="0"/>
        </w:rPr>
      </w:pPr>
      <w:r>
        <w:t>调剂复试名单按照如下规则确定：</w:t>
      </w:r>
    </w:p>
    <w:p w14:paraId="6CB31723">
      <w:pPr>
        <w:pStyle w:val="11"/>
        <w:widowControl/>
        <w:numPr>
          <w:ilvl w:val="0"/>
          <w:numId w:val="4"/>
        </w:numPr>
        <w:topLinePunct w:val="0"/>
        <w:ind w:left="0" w:leftChars="0" w:firstLine="642" w:firstLineChars="0"/>
        <w:rPr>
          <w:b w:val="0"/>
        </w:rPr>
      </w:pPr>
      <w:r>
        <w:t>首先考虑在12管理学门类下不跨类调剂的考生；</w:t>
      </w:r>
    </w:p>
    <w:p w14:paraId="4AC5C747">
      <w:pPr>
        <w:pStyle w:val="11"/>
        <w:widowControl/>
        <w:numPr>
          <w:ilvl w:val="0"/>
          <w:numId w:val="4"/>
        </w:numPr>
        <w:topLinePunct w:val="0"/>
        <w:ind w:left="0" w:leftChars="0" w:firstLine="642" w:firstLineChars="0"/>
        <w:rPr>
          <w:b w:val="0"/>
        </w:rPr>
      </w:pPr>
      <w:r>
        <w:t>在本学科门类调剂不充分的情况下，跨学科门类调剂。跨学科门类调剂的考生按照</w:t>
      </w:r>
      <w:r>
        <w:rPr>
          <w:rFonts w:hint="eastAsia"/>
          <w:lang w:val="en-US" w:eastAsia="zh-CN"/>
        </w:rPr>
        <w:t>初试总</w:t>
      </w:r>
      <w:r>
        <w:t>成绩排名确定复试名单，成绩相同的情况下，按照</w:t>
      </w:r>
      <w:r>
        <w:rPr>
          <w:b w:val="0"/>
        </w:rPr>
        <w:t>计算机科学与技术（0812）&gt;数学（0701）&gt;系统科学（0711）</w:t>
      </w:r>
      <w:r>
        <w:t>的顺序排名。</w:t>
      </w:r>
    </w:p>
    <w:p w14:paraId="4980C8FD">
      <w:pPr>
        <w:pStyle w:val="11"/>
        <w:widowControl/>
        <w:numPr>
          <w:ilvl w:val="0"/>
          <w:numId w:val="4"/>
        </w:numPr>
        <w:topLinePunct w:val="0"/>
        <w:ind w:left="0" w:leftChars="0" w:firstLine="642" w:firstLineChars="0"/>
        <w:rPr>
          <w:b w:val="0"/>
        </w:rPr>
      </w:pPr>
      <w:r>
        <w:t>不接受同等学力考生调剂。</w:t>
      </w:r>
    </w:p>
    <w:p w14:paraId="3B32082E">
      <w:pPr>
        <w:pStyle w:val="11"/>
        <w:numPr>
          <w:ilvl w:val="0"/>
          <w:numId w:val="3"/>
        </w:numPr>
        <w:ind w:left="0" w:leftChars="0" w:firstLine="642" w:firstLineChars="0"/>
        <w:rPr>
          <w:b w:val="0"/>
        </w:rPr>
      </w:pPr>
      <w:r>
        <w:t>上述要求若与2025年教育部相关文件规定相冲突，以教育部的文件规定为准。</w:t>
      </w:r>
    </w:p>
    <w:p w14:paraId="588B7E28">
      <w:pPr>
        <w:pStyle w:val="13"/>
        <w:keepNext w:val="0"/>
        <w:keepLines w:val="0"/>
        <w:pageBreakBefore w:val="0"/>
        <w:kinsoku/>
        <w:wordWrap/>
        <w:overflowPunct/>
        <w:topLinePunct w:val="0"/>
        <w:autoSpaceDE/>
        <w:autoSpaceDN/>
        <w:bidi w:val="0"/>
        <w:spacing w:beforeAutospacing="0" w:afterAutospacing="0"/>
        <w:ind w:firstLine="480" w:firstLineChars="200"/>
        <w:rPr>
          <w:rFonts w:hint="eastAsia" w:ascii="宋体" w:hAnsi="宋体" w:eastAsia="宋体" w:cs="宋体"/>
          <w:sz w:val="24"/>
          <w:szCs w:val="24"/>
          <w:lang w:bidi="ar"/>
        </w:rPr>
      </w:pPr>
    </w:p>
    <w:p w14:paraId="07D7D031">
      <w:pPr>
        <w:pStyle w:val="3"/>
        <w:widowControl/>
        <w:numPr>
          <w:ilvl w:val="0"/>
          <w:numId w:val="2"/>
        </w:numPr>
        <w:topLinePunct w:val="0"/>
        <w:ind w:left="0" w:leftChars="0" w:firstLine="0" w:firstLineChars="0"/>
        <w:rPr>
          <w:b/>
        </w:rPr>
      </w:pPr>
      <w:r>
        <w:rPr>
          <w:u w:val="none"/>
        </w:rPr>
        <w:t>125604物流工程与管理(非全日制)</w:t>
      </w:r>
    </w:p>
    <w:p w14:paraId="18DD6C78">
      <w:pPr>
        <w:pStyle w:val="11"/>
        <w:widowControl/>
        <w:numPr>
          <w:ilvl w:val="0"/>
          <w:numId w:val="5"/>
        </w:numPr>
        <w:ind w:left="0" w:leftChars="0" w:firstLine="642" w:firstLineChars="0"/>
        <w:rPr>
          <w:b w:val="0"/>
        </w:rPr>
      </w:pPr>
      <w:r>
        <w:t>报考第一志愿专业的初试成绩达到教育部统一规定的硕士生A类地区复试资格线所规定的总分和单科分数要求。</w:t>
      </w:r>
    </w:p>
    <w:p w14:paraId="7DA46F19">
      <w:pPr>
        <w:pStyle w:val="11"/>
        <w:widowControl/>
        <w:numPr>
          <w:ilvl w:val="0"/>
          <w:numId w:val="5"/>
        </w:numPr>
        <w:ind w:left="0" w:leftChars="0" w:firstLine="642" w:firstLineChars="0"/>
        <w:rPr>
          <w:b w:val="0"/>
        </w:rPr>
      </w:pPr>
      <w:r>
        <w:t>第一志愿报考工商管理、公共管理、会计、旅游管理、图书情报、工程管理、审计等7个专业学位的考生。</w:t>
      </w:r>
    </w:p>
    <w:p w14:paraId="016629DA">
      <w:pPr>
        <w:pStyle w:val="11"/>
        <w:widowControl/>
        <w:numPr>
          <w:ilvl w:val="0"/>
          <w:numId w:val="5"/>
        </w:numPr>
        <w:ind w:left="0" w:leftChars="0" w:firstLine="642" w:firstLineChars="0"/>
        <w:rPr>
          <w:b w:val="0"/>
        </w:rPr>
      </w:pPr>
      <w:r>
        <w:t>不接受同等学力考生调剂。</w:t>
      </w:r>
    </w:p>
    <w:p w14:paraId="428D0207">
      <w:pPr>
        <w:pStyle w:val="13"/>
        <w:keepNext w:val="0"/>
        <w:keepLines w:val="0"/>
        <w:pageBreakBefore w:val="0"/>
        <w:widowControl/>
        <w:kinsoku/>
        <w:wordWrap/>
        <w:overflowPunct/>
        <w:topLinePunct w:val="0"/>
        <w:autoSpaceDE/>
        <w:autoSpaceDN/>
        <w:bidi w:val="0"/>
        <w:spacing w:beforeAutospacing="0" w:afterAutospacing="0"/>
        <w:rPr>
          <w:rFonts w:hint="eastAsia" w:ascii="宋体" w:hAnsi="宋体" w:eastAsia="宋体" w:cs="宋体"/>
          <w:sz w:val="24"/>
          <w:szCs w:val="24"/>
          <w:lang w:eastAsia="zh-CN" w:bidi="ar"/>
        </w:rPr>
      </w:pPr>
    </w:p>
    <w:p w14:paraId="62FFD375">
      <w:pPr>
        <w:pStyle w:val="11"/>
        <w:widowControl/>
        <w:numPr>
          <w:ilvl w:val="0"/>
          <w:numId w:val="5"/>
        </w:numPr>
        <w:ind w:left="0" w:leftChars="0" w:firstLine="642" w:firstLineChars="0"/>
        <w:rPr>
          <w:b w:val="0"/>
        </w:rPr>
      </w:pPr>
      <w:r>
        <w:t>上述要求若与2025年教育部相关文件规定相冲突，以教育部的文件规定为准。</w:t>
      </w:r>
    </w:p>
    <w:p w14:paraId="446B4451">
      <w:pPr>
        <w:pStyle w:val="13"/>
        <w:keepNext w:val="0"/>
        <w:keepLines w:val="0"/>
        <w:pageBreakBefore w:val="0"/>
        <w:widowControl/>
        <w:kinsoku/>
        <w:wordWrap/>
        <w:overflowPunct/>
        <w:topLinePunct w:val="0"/>
        <w:autoSpaceDE/>
        <w:autoSpaceDN/>
        <w:bidi w:val="0"/>
        <w:spacing w:beforeAutospacing="0" w:afterAutospacing="0"/>
        <w:ind w:firstLine="480" w:firstLineChars="200"/>
        <w:rPr>
          <w:rFonts w:hint="eastAsia" w:ascii="宋体" w:hAnsi="宋体" w:eastAsia="宋体" w:cs="宋体"/>
          <w:sz w:val="24"/>
          <w:szCs w:val="24"/>
          <w:lang w:bidi="ar"/>
        </w:rPr>
      </w:pPr>
    </w:p>
    <w:p w14:paraId="64418627">
      <w:pPr>
        <w:pStyle w:val="2"/>
        <w:widowControl/>
        <w:numPr>
          <w:ilvl w:val="0"/>
          <w:numId w:val="1"/>
        </w:numPr>
        <w:topLinePunct w:val="0"/>
        <w:ind w:left="0" w:leftChars="0" w:firstLine="0" w:firstLineChars="0"/>
        <w:jc w:val="left"/>
        <w:rPr>
          <w:b w:val="0"/>
        </w:rPr>
      </w:pPr>
      <w:r>
        <w:t>具体流程</w:t>
      </w:r>
    </w:p>
    <w:p w14:paraId="49626494">
      <w:pPr>
        <w:pStyle w:val="11"/>
        <w:widowControl/>
        <w:numPr>
          <w:ilvl w:val="0"/>
          <w:numId w:val="6"/>
        </w:numPr>
        <w:ind w:left="0" w:leftChars="0" w:firstLine="642" w:firstLineChars="0"/>
        <w:rPr>
          <w:b w:val="0"/>
        </w:rPr>
      </w:pPr>
      <w:r>
        <w:t>中国研究生招生信息网（http://yz.chsi.com.cn/，以下简称“研招网”）调剂平台开通后，考生务必及时登录研招网调剂系统，认真填写、提交调剂志愿，进行网上调剂申请，否则调剂无效。</w:t>
      </w:r>
    </w:p>
    <w:p w14:paraId="5AC3A397">
      <w:pPr>
        <w:pStyle w:val="11"/>
        <w:widowControl/>
        <w:numPr>
          <w:ilvl w:val="0"/>
          <w:numId w:val="6"/>
        </w:numPr>
        <w:ind w:left="0" w:leftChars="0" w:firstLine="642" w:firstLineChars="0"/>
        <w:rPr>
          <w:b w:val="0"/>
        </w:rPr>
      </w:pPr>
      <w:r>
        <w:t>学院将根据考生专业背景、初试成绩等情况，在研招网调剂系统向符合要求的考生发送复试通知。考生需在规定时间内登录调剂系统确认并加入调剂考生QQ群，逾期视为放弃。</w:t>
      </w:r>
      <w:r>
        <w:rPr>
          <w:rFonts w:hint="eastAsia"/>
          <w:lang w:eastAsia="zh-CN"/>
        </w:rPr>
        <w:t>具体复试安排将在QQ群公布。</w:t>
      </w:r>
    </w:p>
    <w:p w14:paraId="7308E438">
      <w:pPr>
        <w:pStyle w:val="11"/>
        <w:widowControl/>
        <w:numPr>
          <w:ilvl w:val="0"/>
          <w:numId w:val="6"/>
        </w:numPr>
        <w:ind w:left="0" w:leftChars="0" w:firstLine="642" w:firstLineChars="0"/>
        <w:rPr>
          <w:b w:val="0"/>
        </w:rPr>
      </w:pPr>
      <w:r>
        <w:t>学院将在研招网调剂系统中通知拟录取考生，请考生及时在网上确认。若考生在规定时间内没有做出明确答复，将取消其待录取资格。</w:t>
      </w:r>
    </w:p>
    <w:p w14:paraId="71604B49">
      <w:pPr>
        <w:pStyle w:val="11"/>
        <w:widowControl/>
        <w:numPr>
          <w:ilvl w:val="0"/>
          <w:numId w:val="6"/>
        </w:numPr>
        <w:ind w:left="0" w:leftChars="0" w:firstLine="642" w:firstLineChars="0"/>
        <w:jc w:val="left"/>
        <w:rPr>
          <w:b w:val="0"/>
        </w:rPr>
      </w:pPr>
      <w:r>
        <w:t>调剂结束后，所有待录取考生须通过教育部录检，才可正式获得录取资格。</w:t>
      </w:r>
    </w:p>
    <w:p w14:paraId="463DCDED">
      <w:pPr>
        <w:pStyle w:val="2"/>
        <w:widowControl/>
        <w:numPr>
          <w:ilvl w:val="0"/>
          <w:numId w:val="1"/>
        </w:numPr>
        <w:topLinePunct w:val="0"/>
        <w:ind w:left="0" w:leftChars="0" w:firstLine="0" w:firstLineChars="0"/>
        <w:jc w:val="left"/>
        <w:rPr>
          <w:b w:val="0"/>
        </w:rPr>
      </w:pPr>
      <w:r>
        <w:t>奖励政策</w:t>
      </w:r>
    </w:p>
    <w:p w14:paraId="0A1A7451">
      <w:pPr>
        <w:pStyle w:val="11"/>
        <w:widowControl/>
        <w:rPr>
          <w:color w:val="auto"/>
          <w:highlight w:val="none"/>
        </w:rPr>
      </w:pPr>
      <w:r>
        <w:rPr>
          <w:color w:val="auto"/>
          <w:highlight w:val="none"/>
        </w:rPr>
        <w:t>学校将为所有人事档案在校且无固定工资关系的全日制脱产在读研究生设立学业奖学金和助学金。未调人事档案和工资关系档案的考生不享受学业奖学金和助学金。学校不为非全日制硕士研究生提供奖助学金。奖助学金办法以学校最新文件为准。</w:t>
      </w:r>
    </w:p>
    <w:p w14:paraId="28EC9210">
      <w:pPr>
        <w:pStyle w:val="11"/>
        <w:widowControl/>
        <w:numPr>
          <w:ilvl w:val="0"/>
          <w:numId w:val="7"/>
        </w:numPr>
        <w:ind w:left="0" w:leftChars="0" w:firstLine="642" w:firstLineChars="0"/>
        <w:rPr>
          <w:b w:val="0"/>
          <w:color w:val="auto"/>
          <w:highlight w:val="none"/>
        </w:rPr>
      </w:pPr>
      <w:r>
        <w:rPr>
          <w:color w:val="auto"/>
          <w:highlight w:val="none"/>
        </w:rPr>
        <w:t>学业奖学金：一年级一志愿5000元/生/年、调剂3000元/生/年，覆盖面100%；二、三年级一等8000元/生/年、二等5000元/生/年、三等3000元/生/年，覆盖面85%；</w:t>
      </w:r>
    </w:p>
    <w:p w14:paraId="7AC24AF7">
      <w:pPr>
        <w:pStyle w:val="11"/>
        <w:widowControl/>
        <w:numPr>
          <w:ilvl w:val="0"/>
          <w:numId w:val="7"/>
        </w:numPr>
        <w:ind w:left="0" w:leftChars="0" w:firstLine="642" w:firstLineChars="0"/>
        <w:rPr>
          <w:b w:val="0"/>
          <w:color w:val="auto"/>
          <w:highlight w:val="none"/>
        </w:rPr>
      </w:pPr>
      <w:r>
        <w:rPr>
          <w:color w:val="auto"/>
          <w:highlight w:val="none"/>
        </w:rPr>
        <w:t>国家助学金：6000元/生/年，覆盖面100%；</w:t>
      </w:r>
    </w:p>
    <w:p w14:paraId="5CF998F1">
      <w:pPr>
        <w:pStyle w:val="11"/>
        <w:widowControl/>
        <w:numPr>
          <w:ilvl w:val="0"/>
          <w:numId w:val="7"/>
        </w:numPr>
        <w:ind w:left="0" w:leftChars="0" w:firstLine="642" w:firstLineChars="0"/>
        <w:rPr>
          <w:b w:val="0"/>
          <w:color w:val="auto"/>
          <w:highlight w:val="none"/>
        </w:rPr>
      </w:pPr>
      <w:r>
        <w:rPr>
          <w:color w:val="auto"/>
          <w:highlight w:val="none"/>
        </w:rPr>
        <w:t>国家奖学金：优秀研究生可申请，20000元/生/年；</w:t>
      </w:r>
    </w:p>
    <w:p w14:paraId="22A2DB9C">
      <w:pPr>
        <w:pStyle w:val="11"/>
        <w:widowControl/>
        <w:numPr>
          <w:ilvl w:val="0"/>
          <w:numId w:val="7"/>
        </w:numPr>
        <w:ind w:left="0" w:leftChars="0" w:firstLine="642" w:firstLineChars="0"/>
        <w:rPr>
          <w:b w:val="0"/>
          <w:color w:val="auto"/>
          <w:highlight w:val="none"/>
        </w:rPr>
      </w:pPr>
      <w:r>
        <w:rPr>
          <w:color w:val="auto"/>
          <w:highlight w:val="none"/>
        </w:rPr>
        <w:t>助研、助教、助管、学生助理辅导员岗位津贴：研究生可申请学校助研、助教、助管、学生助理辅导员岗位，岗位津贴600—1800元/生/月不等。</w:t>
      </w:r>
    </w:p>
    <w:p w14:paraId="77F83903">
      <w:pPr>
        <w:pStyle w:val="11"/>
        <w:widowControl/>
        <w:numPr>
          <w:ilvl w:val="0"/>
          <w:numId w:val="7"/>
        </w:numPr>
        <w:ind w:left="0" w:leftChars="0" w:firstLine="642" w:firstLineChars="0"/>
        <w:rPr>
          <w:b w:val="0"/>
          <w:color w:val="auto"/>
          <w:highlight w:val="none"/>
        </w:rPr>
      </w:pPr>
      <w:r>
        <w:rPr>
          <w:color w:val="auto"/>
          <w:highlight w:val="none"/>
        </w:rPr>
        <w:t>学校规定的其他奖助学金。</w:t>
      </w:r>
    </w:p>
    <w:p w14:paraId="4B86E827">
      <w:pPr>
        <w:pStyle w:val="2"/>
        <w:widowControl/>
        <w:numPr>
          <w:ilvl w:val="0"/>
          <w:numId w:val="1"/>
        </w:numPr>
        <w:topLinePunct w:val="0"/>
        <w:ind w:left="0" w:leftChars="0" w:firstLine="0" w:firstLineChars="0"/>
        <w:jc w:val="left"/>
        <w:rPr>
          <w:b w:val="0"/>
        </w:rPr>
      </w:pPr>
      <w:r>
        <w:t>其他要求</w:t>
      </w:r>
    </w:p>
    <w:p w14:paraId="3EFF8B2B">
      <w:pPr>
        <w:pStyle w:val="11"/>
        <w:widowControl/>
      </w:pPr>
      <w:r>
        <w:rPr>
          <w:color w:val="000000" w:themeColor="text1"/>
          <w14:textFill>
            <w14:solidFill>
              <w14:schemeClr w14:val="tx1"/>
            </w14:solidFill>
          </w14:textFill>
        </w:rPr>
        <w:t>其他事项</w:t>
      </w:r>
      <w:r>
        <w:t>参见《中南林业科技大学2025年硕士研究生招生复试与录取工作方案》</w:t>
      </w:r>
      <w:r>
        <w:rPr>
          <w:color w:val="000000" w:themeColor="text1"/>
          <w14:textFill>
            <w14:solidFill>
              <w14:schemeClr w14:val="tx1"/>
            </w14:solidFill>
          </w14:textFill>
        </w:rPr>
        <w:t>。</w:t>
      </w:r>
      <w:r>
        <w:t>请考生密切关注相关网站。</w:t>
      </w:r>
    </w:p>
    <w:p w14:paraId="30F0CFB4">
      <w:pPr>
        <w:pStyle w:val="13"/>
        <w:keepNext w:val="0"/>
        <w:keepLines w:val="0"/>
        <w:pageBreakBefore w:val="0"/>
        <w:kinsoku/>
        <w:wordWrap/>
        <w:overflowPunct/>
        <w:topLinePunct w:val="0"/>
        <w:autoSpaceDE/>
        <w:autoSpaceDN/>
        <w:bidi w:val="0"/>
        <w:spacing w:beforeAutospacing="0" w:afterAutospacing="0"/>
        <w:ind w:left="0" w:leftChars="0" w:firstLine="420" w:firstLineChars="200"/>
        <w:rPr>
          <w:rFonts w:hint="eastAsia" w:ascii="宋体" w:hAnsi="宋体" w:eastAsia="宋体" w:cs="宋体"/>
          <w:sz w:val="21"/>
          <w:szCs w:val="21"/>
          <w:lang w:bidi="ar"/>
        </w:rPr>
      </w:pPr>
    </w:p>
    <w:p w14:paraId="296FEED6">
      <w:pPr>
        <w:pStyle w:val="11"/>
        <w:widowControl/>
      </w:pPr>
      <w:r>
        <w:t>中南林业科技大学研究生院网站：</w:t>
      </w:r>
      <w:r>
        <w:fldChar w:fldCharType="begin"/>
      </w:r>
      <w:r>
        <w:instrText xml:space="preserve"> HYPERLINK "https://yjsb.csuft.edu.cn/zsgz/qrzss/" </w:instrText>
      </w:r>
      <w:r>
        <w:fldChar w:fldCharType="separate"/>
      </w:r>
      <w:r>
        <w:rPr>
          <w:rStyle w:val="18"/>
        </w:rPr>
        <w:t>https://yjsb.csuft.edu.cn/zsgz/qrzss/</w:t>
      </w:r>
      <w:r>
        <w:fldChar w:fldCharType="end"/>
      </w:r>
    </w:p>
    <w:p w14:paraId="4C3DE3D8">
      <w:pPr>
        <w:pStyle w:val="11"/>
        <w:widowControl/>
      </w:pPr>
      <w:r>
        <w:t>学院研究生招生手机：19376872556</w:t>
      </w:r>
    </w:p>
    <w:p w14:paraId="4CB5AADA">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97CFA"/>
    <w:multiLevelType w:val="singleLevel"/>
    <w:tmpl w:val="B8597CFA"/>
    <w:lvl w:ilvl="0" w:tentative="0">
      <w:start w:val="1"/>
      <w:numFmt w:val="decimal"/>
      <w:suff w:val="nothing"/>
      <w:lvlText w:val="（%1）"/>
      <w:lvlJc w:val="left"/>
      <w:pPr>
        <w:ind w:left="0" w:firstLine="642"/>
      </w:pPr>
      <w:rPr>
        <w:rFonts w:hint="default"/>
      </w:rPr>
    </w:lvl>
  </w:abstractNum>
  <w:abstractNum w:abstractNumId="1">
    <w:nsid w:val="BF196748"/>
    <w:multiLevelType w:val="singleLevel"/>
    <w:tmpl w:val="BF196748"/>
    <w:lvl w:ilvl="0" w:tentative="0">
      <w:start w:val="1"/>
      <w:numFmt w:val="decimal"/>
      <w:suff w:val="space"/>
      <w:lvlText w:val="%1."/>
      <w:lvlJc w:val="left"/>
      <w:pPr>
        <w:ind w:left="0" w:firstLine="642"/>
      </w:pPr>
      <w:rPr>
        <w:rFonts w:hint="default"/>
      </w:rPr>
    </w:lvl>
  </w:abstractNum>
  <w:abstractNum w:abstractNumId="2">
    <w:nsid w:val="F3921D5A"/>
    <w:multiLevelType w:val="singleLevel"/>
    <w:tmpl w:val="F3921D5A"/>
    <w:lvl w:ilvl="0" w:tentative="0">
      <w:start w:val="1"/>
      <w:numFmt w:val="decimal"/>
      <w:suff w:val="space"/>
      <w:lvlText w:val="%1."/>
      <w:lvlJc w:val="left"/>
      <w:pPr>
        <w:ind w:left="0" w:firstLine="642"/>
      </w:pPr>
      <w:rPr>
        <w:rFonts w:hint="default"/>
      </w:rPr>
    </w:lvl>
  </w:abstractNum>
  <w:abstractNum w:abstractNumId="3">
    <w:nsid w:val="0150080D"/>
    <w:multiLevelType w:val="singleLevel"/>
    <w:tmpl w:val="0150080D"/>
    <w:lvl w:ilvl="0" w:tentative="0">
      <w:start w:val="1"/>
      <w:numFmt w:val="decimal"/>
      <w:suff w:val="space"/>
      <w:lvlText w:val="%1."/>
      <w:lvlJc w:val="left"/>
      <w:pPr>
        <w:ind w:left="0" w:firstLine="642"/>
      </w:pPr>
      <w:rPr>
        <w:rFonts w:hint="default"/>
      </w:rPr>
    </w:lvl>
  </w:abstractNum>
  <w:abstractNum w:abstractNumId="4">
    <w:nsid w:val="11F3FAF3"/>
    <w:multiLevelType w:val="singleLevel"/>
    <w:tmpl w:val="11F3FAF3"/>
    <w:lvl w:ilvl="0" w:tentative="0">
      <w:start w:val="1"/>
      <w:numFmt w:val="decimal"/>
      <w:suff w:val="space"/>
      <w:lvlText w:val="%1."/>
      <w:lvlJc w:val="left"/>
      <w:pPr>
        <w:ind w:left="0" w:firstLine="642"/>
      </w:pPr>
      <w:rPr>
        <w:rFonts w:hint="default"/>
      </w:rPr>
    </w:lvl>
  </w:abstractNum>
  <w:abstractNum w:abstractNumId="5">
    <w:nsid w:val="1A0D1CCE"/>
    <w:multiLevelType w:val="singleLevel"/>
    <w:tmpl w:val="1A0D1CCE"/>
    <w:lvl w:ilvl="0" w:tentative="0">
      <w:start w:val="1"/>
      <w:numFmt w:val="chineseCounting"/>
      <w:suff w:val="nothing"/>
      <w:lvlText w:val="%1、"/>
      <w:lvlJc w:val="left"/>
      <w:pPr>
        <w:ind w:left="0" w:firstLine="0"/>
      </w:pPr>
      <w:rPr>
        <w:rFonts w:hint="eastAsia"/>
      </w:rPr>
    </w:lvl>
  </w:abstractNum>
  <w:abstractNum w:abstractNumId="6">
    <w:nsid w:val="63EF6AA2"/>
    <w:multiLevelType w:val="singleLevel"/>
    <w:tmpl w:val="63EF6AA2"/>
    <w:lvl w:ilvl="0" w:tentative="0">
      <w:start w:val="1"/>
      <w:numFmt w:val="chineseCounting"/>
      <w:suff w:val="nothing"/>
      <w:lvlText w:val="（%1）"/>
      <w:lvlJc w:val="left"/>
      <w:pPr>
        <w:ind w:left="0" w:firstLine="0"/>
      </w:pPr>
      <w:rPr>
        <w:rFonts w:hint="eastAsia"/>
      </w:rPr>
    </w:lvl>
  </w:abstractNum>
  <w:num w:numId="1">
    <w:abstractNumId w:val="5"/>
  </w:num>
  <w:num w:numId="2">
    <w:abstractNumId w:val="6"/>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77DB77B3"/>
    <w:rsid w:val="78BE2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outlineLvl w:val="0"/>
    </w:pPr>
    <w:rPr>
      <w:rFonts w:ascii="Times New Roman" w:hAnsi="Times New Roman" w:eastAsia="黑体" w:cs="Times New Roman"/>
      <w:kern w:val="0"/>
      <w:sz w:val="32"/>
      <w:szCs w:val="32"/>
      <w:lang w:bidi="ar-SA"/>
    </w:rPr>
  </w:style>
  <w:style w:type="paragraph" w:styleId="3">
    <w:name w:val="heading 2"/>
    <w:next w:val="1"/>
    <w:unhideWhenUsed/>
    <w:qFormat/>
    <w:uiPriority w:val="0"/>
    <w:pPr>
      <w:widowControl w:val="0"/>
      <w:adjustRightInd w:val="0"/>
      <w:spacing w:before="100" w:after="100" w:line="360" w:lineRule="auto"/>
      <w:jc w:val="both"/>
      <w:outlineLvl w:val="1"/>
    </w:pPr>
    <w:rPr>
      <w:rFonts w:ascii="Times New Roman" w:hAnsi="Times New Roman" w:eastAsia="宋体" w:cs="Times New Roman"/>
      <w:b/>
      <w:kern w:val="2"/>
      <w:sz w:val="30"/>
      <w:szCs w:val="32"/>
      <w:lang w:bidi="ar-SA"/>
    </w:rPr>
  </w:style>
  <w:style w:type="paragraph" w:styleId="4">
    <w:name w:val="heading 3"/>
    <w:next w:val="1"/>
    <w:unhideWhenUsed/>
    <w:qFormat/>
    <w:uiPriority w:val="0"/>
    <w:pPr>
      <w:keepNext/>
      <w:keepLines/>
      <w:widowControl w:val="0"/>
      <w:adjustRightInd w:val="0"/>
      <w:spacing w:before="100" w:after="100" w:line="360" w:lineRule="auto"/>
      <w:jc w:val="both"/>
      <w:outlineLvl w:val="2"/>
    </w:pPr>
    <w:rPr>
      <w:rFonts w:ascii="Times New Roman" w:hAnsi="Times New Roman" w:eastAsia="宋体" w:cs="Times New Roman"/>
      <w:b/>
      <w:kern w:val="2"/>
      <w:sz w:val="30"/>
      <w:szCs w:val="24"/>
      <w:lang w:bidi="ar-SA"/>
    </w:rPr>
  </w:style>
  <w:style w:type="paragraph" w:styleId="5">
    <w:name w:val="heading 4"/>
    <w:next w:val="1"/>
    <w:unhideWhenUsed/>
    <w:qFormat/>
    <w:uiPriority w:val="0"/>
    <w:pPr>
      <w:keepNext/>
      <w:keepLines/>
      <w:widowControl w:val="0"/>
      <w:adjustRightInd w:val="0"/>
      <w:spacing w:before="100" w:after="100" w:line="360" w:lineRule="auto"/>
      <w:jc w:val="both"/>
      <w:outlineLvl w:val="3"/>
    </w:pPr>
    <w:rPr>
      <w:rFonts w:ascii="Times New Roman" w:hAnsi="Times New Roman" w:eastAsia="宋体" w:cs="Times New Roman"/>
      <w:b/>
      <w:bCs/>
      <w:kern w:val="2"/>
      <w:sz w:val="28"/>
      <w:szCs w:val="28"/>
      <w:lang w:bidi="ar-SA"/>
    </w:rPr>
  </w:style>
  <w:style w:type="paragraph" w:styleId="6">
    <w:name w:val="heading 5"/>
    <w:next w:val="1"/>
    <w:unhideWhenUsed/>
    <w:qFormat/>
    <w:uiPriority w:val="0"/>
    <w:pPr>
      <w:keepNext/>
      <w:keepLines/>
      <w:widowControl w:val="0"/>
      <w:adjustRightInd w:val="0"/>
      <w:spacing w:before="100" w:after="100" w:line="360" w:lineRule="auto"/>
      <w:jc w:val="both"/>
      <w:outlineLvl w:val="4"/>
    </w:pPr>
    <w:rPr>
      <w:rFonts w:ascii="Times New Roman" w:hAnsi="Times New Roman" w:eastAsia="宋体" w:cs="Times New Roman"/>
      <w:b/>
      <w:bCs/>
      <w:kern w:val="2"/>
      <w:sz w:val="28"/>
      <w:szCs w:val="28"/>
      <w:lang w:bidi="ar-SA"/>
    </w:rPr>
  </w:style>
  <w:style w:type="paragraph" w:styleId="7">
    <w:name w:val="heading 6"/>
    <w:next w:val="1"/>
    <w:unhideWhenUsed/>
    <w:qFormat/>
    <w:uiPriority w:val="0"/>
    <w:pPr>
      <w:keepNext/>
      <w:keepLines/>
      <w:widowControl w:val="0"/>
      <w:adjustRightInd w:val="0"/>
      <w:spacing w:before="100" w:after="100" w:line="360" w:lineRule="auto"/>
      <w:jc w:val="both"/>
      <w:outlineLvl w:val="5"/>
    </w:pPr>
    <w:rPr>
      <w:rFonts w:ascii="Times New Roman" w:hAnsi="Times New Roman" w:eastAsia="宋体" w:cs="Times New Roman"/>
      <w:b/>
      <w:bCs/>
      <w:kern w:val="2"/>
      <w:sz w:val="28"/>
      <w:szCs w:val="24"/>
      <w:lang w:bidi="ar-SA"/>
    </w:rPr>
  </w:style>
  <w:style w:type="paragraph" w:styleId="8">
    <w:name w:val="heading 7"/>
    <w:next w:val="1"/>
    <w:unhideWhenUsed/>
    <w:qFormat/>
    <w:uiPriority w:val="0"/>
    <w:pPr>
      <w:keepNext/>
      <w:keepLines/>
      <w:widowControl w:val="0"/>
      <w:adjustRightInd w:val="0"/>
      <w:spacing w:before="100" w:after="100" w:line="360" w:lineRule="auto"/>
      <w:jc w:val="both"/>
      <w:outlineLvl w:val="6"/>
    </w:pPr>
    <w:rPr>
      <w:rFonts w:ascii="Times New Roman" w:hAnsi="Times New Roman" w:eastAsia="宋体" w:cs="Times New Roman"/>
      <w:b/>
      <w:bCs/>
      <w:kern w:val="2"/>
      <w:sz w:val="24"/>
      <w:szCs w:val="24"/>
      <w:lang w:bidi="ar-SA"/>
    </w:rPr>
  </w:style>
  <w:style w:type="paragraph" w:styleId="9">
    <w:name w:val="heading 8"/>
    <w:next w:val="1"/>
    <w:unhideWhenUsed/>
    <w:qFormat/>
    <w:uiPriority w:val="0"/>
    <w:pPr>
      <w:keepNext/>
      <w:keepLines/>
      <w:widowControl w:val="0"/>
      <w:adjustRightInd w:val="0"/>
      <w:spacing w:before="100" w:after="100" w:line="360" w:lineRule="auto"/>
      <w:jc w:val="both"/>
      <w:outlineLvl w:val="7"/>
    </w:pPr>
    <w:rPr>
      <w:rFonts w:ascii="Times New Roman" w:hAnsi="Times New Roman" w:eastAsia="宋体" w:cs="Times New Roman"/>
      <w:b/>
      <w:kern w:val="2"/>
      <w:sz w:val="24"/>
      <w:szCs w:val="24"/>
      <w:lang w:bidi="ar-SA"/>
    </w:rPr>
  </w:style>
  <w:style w:type="paragraph" w:styleId="10">
    <w:name w:val="heading 9"/>
    <w:next w:val="1"/>
    <w:unhideWhenUsed/>
    <w:qFormat/>
    <w:uiPriority w:val="0"/>
    <w:pPr>
      <w:keepNext/>
      <w:keepLines/>
      <w:widowControl w:val="0"/>
      <w:adjustRightInd w:val="0"/>
      <w:spacing w:before="100" w:after="100" w:line="360" w:lineRule="auto"/>
      <w:jc w:val="both"/>
      <w:outlineLvl w:val="8"/>
    </w:pPr>
    <w:rPr>
      <w:rFonts w:ascii="Times New Roman" w:hAnsi="Times New Roman" w:eastAsia="宋体" w:cs="Times New Roman"/>
      <w:b/>
      <w:kern w:val="2"/>
      <w:sz w:val="21"/>
      <w:szCs w:val="21"/>
      <w:lang w:bidi="ar-SA"/>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11">
    <w:name w:val="Body Text"/>
    <w:uiPriority w:val="0"/>
    <w:pPr>
      <w:keepNext w:val="0"/>
      <w:keepLines w:val="0"/>
      <w:pageBreakBefore w:val="0"/>
      <w:widowControl w:val="0"/>
      <w:kinsoku/>
      <w:wordWrap/>
      <w:overflowPunct/>
      <w:topLinePunct w:val="0"/>
      <w:autoSpaceDE w:val="0"/>
      <w:autoSpaceDN w:val="0"/>
      <w:bidi w:val="0"/>
      <w:spacing w:line="560" w:lineRule="exact"/>
      <w:ind w:firstLine="642"/>
      <w:jc w:val="both"/>
      <w:textAlignment w:val="auto"/>
      <w:outlineLvl w:val="9"/>
    </w:pPr>
    <w:rPr>
      <w:rFonts w:ascii="Times New Roman" w:hAnsi="Calibri" w:eastAsia="仿宋_GB2312" w:cs="Times New Roman"/>
      <w:sz w:val="32"/>
    </w:rPr>
  </w:style>
  <w:style w:type="paragraph" w:styleId="12">
    <w:name w:val="Subtitle"/>
    <w:qFormat/>
    <w:uiPriority w:val="0"/>
    <w:pPr>
      <w:keepNext w:val="0"/>
      <w:keepLines w:val="0"/>
      <w:pageBreakBefore w:val="0"/>
      <w:widowControl/>
      <w:kinsoku/>
      <w:wordWrap/>
      <w:overflowPunct/>
      <w:topLinePunct w:val="0"/>
      <w:bidi w:val="0"/>
      <w:adjustRightInd/>
      <w:spacing w:line="560" w:lineRule="exact"/>
      <w:jc w:val="center"/>
      <w:textAlignment w:val="auto"/>
      <w:outlineLvl w:val="9"/>
    </w:pPr>
    <w:rPr>
      <w:rFonts w:ascii="Times New Roman" w:hAnsi="Times New Roman" w:eastAsia="楷体_GB2312" w:cs="Times New Roman"/>
      <w:kern w:val="0"/>
      <w:sz w:val="32"/>
      <w:szCs w:val="48"/>
      <w:lang w:bidi="ar-SA"/>
    </w:rPr>
  </w:style>
  <w:style w:type="paragraph" w:styleId="13">
    <w:name w:val="Normal (Web)"/>
    <w:basedOn w:val="1"/>
    <w:qFormat/>
    <w:uiPriority w:val="0"/>
    <w:pPr>
      <w:widowControl/>
      <w:spacing w:beforeAutospacing="1" w:afterAutospacing="1"/>
      <w:ind w:firstLine="480" w:firstLineChars="200"/>
      <w:pPrChange w:id="0" w:author="刘锦" w:date="2025-03-31T19:47:00Z">
        <w:pPr>
          <w:widowControl w:val="0"/>
          <w:spacing w:beforeAutospacing="1" w:afterAutospacing="1"/>
        </w:pPr>
      </w:pPrChange>
    </w:pPr>
    <w:rPr>
      <w:rFonts w:cs="Times New Roman" w:asciiTheme="minorHAnsi" w:hAnsiTheme="minorHAnsi" w:eastAsiaTheme="minorEastAsia"/>
      <w:kern w:val="0"/>
      <w:sz w:val="24"/>
      <w:szCs w:val="24"/>
      <w:lang w:val="en-US" w:eastAsia="zh-CN" w:bidi="ar-SA"/>
      <w:rPrChange w:id="1" w:author="刘锦" w:date="2025-03-31T19:47:00Z">
        <w:rPr>
          <w:rFonts w:asciiTheme="minorHAnsi" w:hAnsiTheme="minorHAnsi" w:eastAsiaTheme="minorEastAsia"/>
          <w:sz w:val="24"/>
          <w:szCs w:val="24"/>
          <w:lang w:val="en-US" w:eastAsia="zh-CN" w:bidi="ar-SA"/>
        </w:rPr>
      </w:rPrChange>
    </w:rPr>
  </w:style>
  <w:style w:type="paragraph" w:styleId="14">
    <w:name w:val="Title"/>
    <w:qFormat/>
    <w:uiPriority w:val="0"/>
    <w:pPr>
      <w:keepNext w:val="0"/>
      <w:keepLines w:val="0"/>
      <w:pageBreakBefore w:val="0"/>
      <w:widowControl/>
      <w:shd w:val="clear" w:color="auto" w:fill="FFFFFF"/>
      <w:kinsoku/>
      <w:wordWrap/>
      <w:overflowPunct/>
      <w:topLinePunct w:val="0"/>
      <w:bidi w:val="0"/>
      <w:spacing w:before="0" w:after="0" w:line="560" w:lineRule="exact"/>
      <w:ind w:left="880" w:hanging="880" w:hangingChars="200"/>
      <w:jc w:val="center"/>
      <w:textAlignment w:val="auto"/>
      <w:outlineLvl w:val="9"/>
    </w:pPr>
    <w:rPr>
      <w:rFonts w:ascii="Times New Roman" w:hAnsi="Times New Roman" w:eastAsia="方正小标宋简体" w:cs="Times New Roman"/>
      <w:kern w:val="0"/>
      <w:sz w:val="44"/>
      <w:szCs w:val="44"/>
      <w:lang w:bidi="ar-SA"/>
    </w:rPr>
  </w:style>
  <w:style w:type="character" w:styleId="17">
    <w:name w:val="Strong"/>
    <w:basedOn w:val="16"/>
    <w:qFormat/>
    <w:uiPriority w:val="0"/>
    <w:rPr>
      <w:b/>
    </w:rPr>
  </w:style>
  <w:style w:type="character" w:styleId="18">
    <w:name w:val="Hyperlink"/>
    <w:basedOn w:val="16"/>
    <w:qFormat/>
    <w:uiPriority w:val="0"/>
    <w:rPr>
      <w:color w:val="0026E5" w:themeColor="hyperlink"/>
      <w:u w:val="single"/>
      <w14:textFill>
        <w14:solidFill>
          <w14:schemeClr w14:val="hlink"/>
        </w14:solidFill>
      </w14:textFill>
    </w:rPr>
  </w:style>
  <w:style w:type="paragraph" w:customStyle="1" w:styleId="19">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0">
    <w:name w:val="Unresolved Mention"/>
    <w:basedOn w:val="16"/>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1344</Words>
  <Characters>1527</Characters>
  <Lines>108</Lines>
  <Paragraphs>132</Paragraphs>
  <TotalTime>0</TotalTime>
  <ScaleCrop>false</ScaleCrop>
  <LinksUpToDate>false</LinksUpToDate>
  <CharactersWithSpaces>1528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2025-03-31T19:47:00Z</dcterms:created>
  <dc:creator>ljs01</dc:creator>
  <cp:lastModifiedBy>Tina</cp:lastModifiedBy>
  <cp:lastPrinted>2025-03-29T09:09:00Z</cp:lastPrinted>
  <dcterms:modified xsi:type="dcterms:W3CDTF">2025-04-18T01:18:44Z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178948BF99E54F7CB8670B65B1AACA3F_13</vt:lpwstr>
  </property>
  <property fmtid="{D5CDD505-2E9C-101B-9397-08002B2CF9AE}" pid="4" name="KSOTemplateDocerSaveRecord">
    <vt:lpwstr>eyJoZGlkIjoiN2E5NDRmMjczMmRjODg0OTg5ZjQ4ZTAzODlkOTQ3NjIiLCJ1c2VySWQiOiI5OTI4NzAxMzYifQ==</vt:lpwstr>
  </property>
</Properties>
</file>